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F1" w:rsidRDefault="003B68F1">
      <w:pPr>
        <w:tabs>
          <w:tab w:val="left" w:pos="284"/>
        </w:tabs>
        <w:jc w:val="center"/>
        <w:rPr>
          <w:rFonts w:ascii="Arial" w:hAnsi="Arial" w:cs="Arial"/>
          <w:b/>
          <w:sz w:val="52"/>
          <w:szCs w:val="52"/>
        </w:rPr>
      </w:pPr>
      <w:bookmarkStart w:id="0" w:name="_GoBack"/>
      <w:bookmarkEnd w:id="0"/>
    </w:p>
    <w:p w:rsidR="003B68F1" w:rsidRDefault="003B68F1">
      <w:pPr>
        <w:tabs>
          <w:tab w:val="left" w:pos="284"/>
        </w:tabs>
        <w:jc w:val="center"/>
        <w:rPr>
          <w:rFonts w:ascii="Arial" w:hAnsi="Arial" w:cs="Arial"/>
          <w:b/>
          <w:sz w:val="52"/>
          <w:szCs w:val="52"/>
        </w:rPr>
      </w:pPr>
    </w:p>
    <w:p w:rsidR="003B68F1" w:rsidRDefault="003B68F1">
      <w:pPr>
        <w:tabs>
          <w:tab w:val="left" w:pos="284"/>
        </w:tabs>
        <w:rPr>
          <w:rFonts w:ascii="Arial" w:hAnsi="Arial" w:cs="Arial"/>
          <w:b/>
          <w:sz w:val="52"/>
          <w:szCs w:val="52"/>
        </w:rPr>
      </w:pPr>
    </w:p>
    <w:p w:rsidR="003B68F1" w:rsidRDefault="00511C98">
      <w:pPr>
        <w:tabs>
          <w:tab w:val="left" w:pos="284"/>
        </w:tabs>
        <w:jc w:val="center"/>
        <w:rPr>
          <w:rFonts w:ascii="Arial" w:hAnsi="Arial" w:cs="Arial"/>
          <w:b/>
          <w:sz w:val="52"/>
          <w:szCs w:val="52"/>
        </w:rPr>
      </w:pPr>
      <w:r>
        <w:rPr>
          <w:rFonts w:ascii="Arial" w:hAnsi="Arial" w:cs="Arial"/>
          <w:b/>
          <w:sz w:val="52"/>
          <w:szCs w:val="52"/>
        </w:rPr>
        <w:t xml:space="preserve">Podręcznik kwalifikowalności kosztów pomocy technicznej </w:t>
      </w:r>
      <w:r>
        <w:rPr>
          <w:rFonts w:ascii="Arial" w:hAnsi="Arial" w:cs="Arial"/>
          <w:b/>
          <w:sz w:val="52"/>
          <w:szCs w:val="52"/>
        </w:rPr>
        <w:br/>
        <w:t>w ramach PROW 2014-2020</w:t>
      </w:r>
    </w:p>
    <w:p w:rsidR="003B68F1" w:rsidRDefault="003B68F1">
      <w:pPr>
        <w:tabs>
          <w:tab w:val="left" w:pos="284"/>
        </w:tabs>
        <w:spacing w:after="0"/>
        <w:rPr>
          <w:rFonts w:ascii="Arial" w:hAnsi="Arial" w:cs="Arial"/>
          <w:b/>
          <w:sz w:val="52"/>
          <w:szCs w:val="52"/>
        </w:rPr>
      </w:pPr>
    </w:p>
    <w:p w:rsidR="003B68F1" w:rsidRDefault="003B68F1">
      <w:pPr>
        <w:ind w:left="360"/>
        <w:jc w:val="both"/>
        <w:rPr>
          <w:sz w:val="26"/>
          <w:szCs w:val="24"/>
        </w:rPr>
      </w:pPr>
    </w:p>
    <w:p w:rsidR="003B68F1" w:rsidRDefault="003B68F1">
      <w:pPr>
        <w:jc w:val="both"/>
        <w:rPr>
          <w:sz w:val="26"/>
          <w:szCs w:val="24"/>
        </w:rPr>
      </w:pPr>
    </w:p>
    <w:tbl>
      <w:tblPr>
        <w:tblW w:w="8940" w:type="dxa"/>
        <w:tblInd w:w="-11" w:type="dxa"/>
        <w:tblLook w:val="04A0" w:firstRow="1" w:lastRow="0" w:firstColumn="1" w:lastColumn="0" w:noHBand="0" w:noVBand="1"/>
      </w:tblPr>
      <w:tblGrid>
        <w:gridCol w:w="2188"/>
        <w:gridCol w:w="2017"/>
        <w:gridCol w:w="2628"/>
        <w:gridCol w:w="2107"/>
      </w:tblGrid>
      <w:tr w:rsidR="003B68F1">
        <w:trPr>
          <w:trHeight w:val="3473"/>
        </w:trPr>
        <w:tc>
          <w:tcPr>
            <w:tcW w:w="2187" w:type="dxa"/>
            <w:shd w:val="clear" w:color="auto" w:fill="auto"/>
          </w:tcPr>
          <w:p w:rsidR="003B68F1" w:rsidRDefault="00511C98">
            <w:pPr>
              <w:pStyle w:val="Nagwek"/>
              <w:rPr>
                <w:sz w:val="24"/>
                <w:szCs w:val="24"/>
              </w:rPr>
            </w:pPr>
            <w:r>
              <w:rPr>
                <w:noProof/>
                <w:sz w:val="24"/>
                <w:szCs w:val="24"/>
              </w:rPr>
              <w:drawing>
                <wp:anchor distT="0" distB="0" distL="114300" distR="114300" simplePos="0" relativeHeight="2" behindDoc="0" locked="0" layoutInCell="1" allowOverlap="1">
                  <wp:simplePos x="0" y="0"/>
                  <wp:positionH relativeFrom="column">
                    <wp:posOffset>179070</wp:posOffset>
                  </wp:positionH>
                  <wp:positionV relativeFrom="paragraph">
                    <wp:posOffset>6350</wp:posOffset>
                  </wp:positionV>
                  <wp:extent cx="730250" cy="486410"/>
                  <wp:effectExtent l="0" t="0" r="0" b="0"/>
                  <wp:wrapSquare wrapText="bothSides"/>
                  <wp:docPr id="1" name="Obraz 17" descr="Flaga%20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descr="Flaga%20UE-1"/>
                          <pic:cNvPicPr>
                            <a:picLocks noChangeAspect="1" noChangeArrowheads="1"/>
                          </pic:cNvPicPr>
                        </pic:nvPicPr>
                        <pic:blipFill>
                          <a:blip r:embed="rId9"/>
                          <a:stretch>
                            <a:fillRect/>
                          </a:stretch>
                        </pic:blipFill>
                        <pic:spPr bwMode="auto">
                          <a:xfrm>
                            <a:off x="0" y="0"/>
                            <a:ext cx="730250" cy="486410"/>
                          </a:xfrm>
                          <a:prstGeom prst="rect">
                            <a:avLst/>
                          </a:prstGeom>
                        </pic:spPr>
                      </pic:pic>
                    </a:graphicData>
                  </a:graphic>
                </wp:anchor>
              </w:drawing>
            </w:r>
          </w:p>
        </w:tc>
        <w:tc>
          <w:tcPr>
            <w:tcW w:w="2017" w:type="dxa"/>
            <w:shd w:val="clear" w:color="auto" w:fill="auto"/>
          </w:tcPr>
          <w:p w:rsidR="003B68F1" w:rsidRDefault="00511C98">
            <w:pPr>
              <w:pStyle w:val="Nagwek"/>
              <w:jc w:val="center"/>
              <w:rPr>
                <w:sz w:val="24"/>
                <w:szCs w:val="24"/>
              </w:rPr>
            </w:pPr>
            <w:r>
              <w:rPr>
                <w:noProof/>
              </w:rPr>
              <w:drawing>
                <wp:inline distT="0" distB="0" distL="0" distR="0">
                  <wp:extent cx="509270" cy="498475"/>
                  <wp:effectExtent l="0" t="0" r="0" b="0"/>
                  <wp:docPr id="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8"/>
                          <pic:cNvPicPr>
                            <a:picLocks noChangeAspect="1" noChangeArrowheads="1"/>
                          </pic:cNvPicPr>
                        </pic:nvPicPr>
                        <pic:blipFill>
                          <a:blip r:embed="rId10"/>
                          <a:stretch>
                            <a:fillRect/>
                          </a:stretch>
                        </pic:blipFill>
                        <pic:spPr bwMode="auto">
                          <a:xfrm>
                            <a:off x="0" y="0"/>
                            <a:ext cx="509270" cy="498475"/>
                          </a:xfrm>
                          <a:prstGeom prst="rect">
                            <a:avLst/>
                          </a:prstGeom>
                        </pic:spPr>
                      </pic:pic>
                    </a:graphicData>
                  </a:graphic>
                </wp:inline>
              </w:drawing>
            </w:r>
          </w:p>
        </w:tc>
        <w:tc>
          <w:tcPr>
            <w:tcW w:w="2628" w:type="dxa"/>
            <w:shd w:val="clear" w:color="auto" w:fill="auto"/>
          </w:tcPr>
          <w:p w:rsidR="003B68F1" w:rsidRDefault="00511C98">
            <w:pPr>
              <w:pStyle w:val="Nagwek"/>
              <w:jc w:val="center"/>
              <w:rPr>
                <w:sz w:val="24"/>
                <w:szCs w:val="24"/>
              </w:rPr>
            </w:pPr>
            <w:r>
              <w:rPr>
                <w:noProof/>
              </w:rPr>
              <w:drawing>
                <wp:inline distT="0" distB="0" distL="0" distR="0">
                  <wp:extent cx="1486535" cy="576580"/>
                  <wp:effectExtent l="0" t="0" r="0" b="0"/>
                  <wp:docPr id="3" name="Obraz 19" descr="C:\Users\iszczesn\Desktop\IWONA_2014-2020\Wizualizacja\LOGOTYPY\logo KSOW\KSOW_tekst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9" descr="C:\Users\iszczesn\Desktop\IWONA_2014-2020\Wizualizacja\LOGOTYPY\logo KSOW\KSOW_tekst_transparent.tif"/>
                          <pic:cNvPicPr>
                            <a:picLocks noChangeAspect="1" noChangeArrowheads="1"/>
                          </pic:cNvPicPr>
                        </pic:nvPicPr>
                        <pic:blipFill>
                          <a:blip r:embed="rId11"/>
                          <a:stretch>
                            <a:fillRect/>
                          </a:stretch>
                        </pic:blipFill>
                        <pic:spPr bwMode="auto">
                          <a:xfrm>
                            <a:off x="0" y="0"/>
                            <a:ext cx="1486535" cy="576580"/>
                          </a:xfrm>
                          <a:prstGeom prst="rect">
                            <a:avLst/>
                          </a:prstGeom>
                        </pic:spPr>
                      </pic:pic>
                    </a:graphicData>
                  </a:graphic>
                </wp:inline>
              </w:drawing>
            </w:r>
          </w:p>
          <w:p w:rsidR="003B68F1" w:rsidRDefault="003B68F1">
            <w:pPr>
              <w:pStyle w:val="Nagwek"/>
              <w:jc w:val="center"/>
              <w:rPr>
                <w:sz w:val="24"/>
                <w:szCs w:val="24"/>
              </w:rPr>
            </w:pPr>
          </w:p>
        </w:tc>
        <w:tc>
          <w:tcPr>
            <w:tcW w:w="2107" w:type="dxa"/>
            <w:shd w:val="clear" w:color="auto" w:fill="auto"/>
          </w:tcPr>
          <w:p w:rsidR="003B68F1" w:rsidRDefault="00511C98">
            <w:pPr>
              <w:pStyle w:val="Nagwek"/>
              <w:jc w:val="center"/>
              <w:rPr>
                <w:sz w:val="24"/>
                <w:szCs w:val="24"/>
              </w:rPr>
            </w:pPr>
            <w:r>
              <w:rPr>
                <w:noProof/>
              </w:rPr>
              <w:drawing>
                <wp:inline distT="0" distB="0" distL="0" distR="0">
                  <wp:extent cx="897255" cy="581660"/>
                  <wp:effectExtent l="0" t="0" r="0" b="0"/>
                  <wp:docPr id="4" name="Obraz 20" descr="C:\Users\iszczesn\Desktop\IWONA_2014-2020\Wizualizacja\LOGOTYPY\logo PROW 2014-2020\logo PROW 2014-2020 - pliki\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0" descr="C:\Users\iszczesn\Desktop\IWONA_2014-2020\Wizualizacja\LOGOTYPY\logo PROW 2014-2020\logo PROW 2014-2020 - pliki\kolor\PROW-2014-2020-logo-kolor.jpg"/>
                          <pic:cNvPicPr>
                            <a:picLocks noChangeAspect="1" noChangeArrowheads="1"/>
                          </pic:cNvPicPr>
                        </pic:nvPicPr>
                        <pic:blipFill>
                          <a:blip r:embed="rId12"/>
                          <a:stretch>
                            <a:fillRect/>
                          </a:stretch>
                        </pic:blipFill>
                        <pic:spPr bwMode="auto">
                          <a:xfrm>
                            <a:off x="0" y="0"/>
                            <a:ext cx="897255" cy="581660"/>
                          </a:xfrm>
                          <a:prstGeom prst="rect">
                            <a:avLst/>
                          </a:prstGeom>
                        </pic:spPr>
                      </pic:pic>
                    </a:graphicData>
                  </a:graphic>
                </wp:inline>
              </w:drawing>
            </w:r>
          </w:p>
          <w:p w:rsidR="003B68F1" w:rsidRDefault="003B68F1">
            <w:pPr>
              <w:pStyle w:val="Nagwek"/>
              <w:jc w:val="center"/>
              <w:rPr>
                <w:sz w:val="24"/>
                <w:szCs w:val="24"/>
              </w:rPr>
            </w:pPr>
          </w:p>
          <w:p w:rsidR="003B68F1" w:rsidRDefault="003B68F1">
            <w:pPr>
              <w:pStyle w:val="Nagwek"/>
              <w:jc w:val="center"/>
              <w:rPr>
                <w:sz w:val="24"/>
                <w:szCs w:val="24"/>
              </w:rPr>
            </w:pPr>
          </w:p>
          <w:p w:rsidR="003B68F1" w:rsidRDefault="003B68F1">
            <w:pPr>
              <w:pStyle w:val="Nagwek"/>
              <w:jc w:val="center"/>
              <w:rPr>
                <w:sz w:val="24"/>
                <w:szCs w:val="24"/>
              </w:rPr>
            </w:pPr>
          </w:p>
          <w:p w:rsidR="003B68F1" w:rsidRDefault="003B68F1">
            <w:pPr>
              <w:pStyle w:val="Nagwek"/>
              <w:rPr>
                <w:sz w:val="24"/>
                <w:szCs w:val="24"/>
              </w:rPr>
            </w:pPr>
          </w:p>
        </w:tc>
      </w:tr>
    </w:tbl>
    <w:p w:rsidR="003B68F1" w:rsidRDefault="00511C98">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„Europejski Fundusz Rolny na rzecz Rozwoju Obszarów Wiejskich: Europa inwestująca </w:t>
      </w:r>
      <w:r>
        <w:rPr>
          <w:rFonts w:ascii="Times New Roman" w:hAnsi="Times New Roman" w:cs="Times New Roman"/>
          <w:sz w:val="24"/>
          <w:szCs w:val="24"/>
        </w:rPr>
        <w:br/>
        <w:t>w obszary wiejskie”.</w:t>
      </w:r>
    </w:p>
    <w:p w:rsidR="003B68F1" w:rsidRDefault="00511C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Materiał opracowany przez Ministerstwo Rolnictwa i</w:t>
      </w:r>
      <w:r>
        <w:rPr>
          <w:rFonts w:ascii="Times New Roman" w:hAnsi="Times New Roman" w:cs="Times New Roman"/>
          <w:sz w:val="24"/>
          <w:szCs w:val="24"/>
        </w:rPr>
        <w:t xml:space="preserve"> Rozwoju Wsi.</w:t>
      </w:r>
    </w:p>
    <w:p w:rsidR="003B68F1" w:rsidRDefault="00511C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Instytucja Zarządzająca Programem Rozwoju Obszarów Wiejskich na lata 2014-2020 – Minister Rolnictwa i Rozwoju Wsi</w:t>
      </w:r>
    </w:p>
    <w:p w:rsidR="003B68F1" w:rsidRDefault="003B68F1">
      <w:pPr>
        <w:spacing w:after="0" w:line="240" w:lineRule="auto"/>
        <w:jc w:val="center"/>
        <w:rPr>
          <w:rFonts w:ascii="Times New Roman" w:hAnsi="Times New Roman" w:cs="Times New Roman"/>
          <w:sz w:val="24"/>
          <w:szCs w:val="24"/>
        </w:rPr>
      </w:pPr>
    </w:p>
    <w:p w:rsidR="003B68F1" w:rsidRDefault="003B68F1">
      <w:pPr>
        <w:spacing w:after="0" w:line="240" w:lineRule="auto"/>
        <w:jc w:val="both"/>
        <w:rPr>
          <w:rFonts w:ascii="Times New Roman" w:hAnsi="Times New Roman" w:cs="Times New Roman"/>
          <w:sz w:val="24"/>
          <w:szCs w:val="24"/>
        </w:rPr>
      </w:pPr>
    </w:p>
    <w:p w:rsidR="003B68F1" w:rsidRDefault="003B68F1">
      <w:pPr>
        <w:spacing w:after="0" w:line="240" w:lineRule="auto"/>
        <w:jc w:val="both"/>
        <w:rPr>
          <w:rFonts w:ascii="Times New Roman" w:hAnsi="Times New Roman" w:cs="Times New Roman"/>
          <w:sz w:val="24"/>
          <w:szCs w:val="24"/>
        </w:rPr>
      </w:pPr>
    </w:p>
    <w:p w:rsidR="003B68F1" w:rsidRDefault="00511C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B68F1" w:rsidRDefault="003B68F1">
      <w:pPr>
        <w:spacing w:after="0" w:line="240" w:lineRule="auto"/>
        <w:jc w:val="both"/>
        <w:rPr>
          <w:rFonts w:ascii="Times New Roman" w:hAnsi="Times New Roman" w:cs="Times New Roman"/>
          <w:sz w:val="24"/>
          <w:szCs w:val="24"/>
        </w:rPr>
      </w:pPr>
    </w:p>
    <w:p w:rsidR="003B68F1" w:rsidRDefault="003B68F1">
      <w:pPr>
        <w:spacing w:after="0" w:line="240" w:lineRule="auto"/>
        <w:jc w:val="both"/>
        <w:rPr>
          <w:rFonts w:ascii="Times New Roman" w:hAnsi="Times New Roman" w:cs="Times New Roman"/>
          <w:sz w:val="24"/>
          <w:szCs w:val="24"/>
        </w:rPr>
      </w:pPr>
    </w:p>
    <w:p w:rsidR="003B68F1" w:rsidRDefault="00511C98">
      <w:pPr>
        <w:spacing w:after="0"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 xml:space="preserve">Warszawa, 29 październik 2020 r. </w:t>
      </w:r>
    </w:p>
    <w:sdt>
      <w:sdtPr>
        <w:rPr>
          <w:rFonts w:asciiTheme="minorHAnsi" w:eastAsiaTheme="minorEastAsia" w:hAnsiTheme="minorHAnsi" w:cstheme="minorBidi"/>
          <w:b w:val="0"/>
          <w:bCs w:val="0"/>
          <w:color w:val="auto"/>
          <w:sz w:val="22"/>
          <w:szCs w:val="22"/>
        </w:rPr>
        <w:id w:val="627358004"/>
        <w:docPartObj>
          <w:docPartGallery w:val="Table of Contents"/>
          <w:docPartUnique/>
        </w:docPartObj>
      </w:sdtPr>
      <w:sdtEndPr/>
      <w:sdtContent>
        <w:p w:rsidR="003B68F1" w:rsidRDefault="00511C98">
          <w:pPr>
            <w:pStyle w:val="Nagwekspisutreci"/>
            <w:rPr>
              <w:color w:val="auto"/>
            </w:rPr>
          </w:pPr>
          <w:r>
            <w:rPr>
              <w:color w:val="auto"/>
            </w:rPr>
            <w:t>Spis treści</w:t>
          </w:r>
        </w:p>
        <w:p w:rsidR="003B68F1" w:rsidRDefault="00511C98">
          <w:pPr>
            <w:pStyle w:val="Spistreci1"/>
            <w:tabs>
              <w:tab w:val="right" w:leader="dot" w:pos="8919"/>
            </w:tabs>
            <w:rPr>
              <w:sz w:val="22"/>
              <w:szCs w:val="22"/>
            </w:rPr>
          </w:pPr>
          <w:r>
            <w:fldChar w:fldCharType="begin"/>
          </w:r>
          <w:r>
            <w:rPr>
              <w:rStyle w:val="czeindeksu"/>
              <w:webHidden/>
              <w:sz w:val="22"/>
              <w:szCs w:val="22"/>
            </w:rPr>
            <w:instrText>TOC \z \o "1-3" \u \h</w:instrText>
          </w:r>
          <w:r>
            <w:rPr>
              <w:rStyle w:val="czeindeksu"/>
            </w:rPr>
            <w:fldChar w:fldCharType="separate"/>
          </w:r>
          <w:hyperlink w:anchor="_Toc10788485">
            <w:r>
              <w:rPr>
                <w:rStyle w:val="czeindeksu"/>
                <w:webHidden/>
                <w:sz w:val="22"/>
                <w:szCs w:val="22"/>
              </w:rPr>
              <w:t xml:space="preserve">I  Wykaz </w:t>
            </w:r>
            <w:r>
              <w:rPr>
                <w:rStyle w:val="czeindeksu"/>
                <w:webHidden/>
                <w:sz w:val="22"/>
                <w:szCs w:val="22"/>
              </w:rPr>
              <w:t>pojęć i skrótów</w:t>
            </w:r>
            <w:r>
              <w:rPr>
                <w:webHidden/>
              </w:rPr>
              <w:fldChar w:fldCharType="begin"/>
            </w:r>
            <w:r>
              <w:rPr>
                <w:webHidden/>
              </w:rPr>
              <w:instrText>PAGEREF _Toc10788485 \h</w:instrText>
            </w:r>
            <w:r>
              <w:rPr>
                <w:webHidden/>
              </w:rPr>
            </w:r>
            <w:r>
              <w:rPr>
                <w:webHidden/>
              </w:rPr>
              <w:fldChar w:fldCharType="separate"/>
            </w:r>
            <w:r>
              <w:rPr>
                <w:rStyle w:val="czeindeksu"/>
                <w:sz w:val="22"/>
                <w:szCs w:val="22"/>
              </w:rPr>
              <w:tab/>
              <w:t>3</w:t>
            </w:r>
            <w:r>
              <w:rPr>
                <w:webHidden/>
              </w:rPr>
              <w:fldChar w:fldCharType="end"/>
            </w:r>
          </w:hyperlink>
        </w:p>
        <w:p w:rsidR="003B68F1" w:rsidRDefault="00511C98">
          <w:pPr>
            <w:rPr>
              <w:rFonts w:ascii="Times New Roman" w:hAnsi="Times New Roman" w:cs="Times New Roman"/>
              <w:i/>
            </w:rPr>
          </w:pPr>
          <w:r>
            <w:rPr>
              <w:rFonts w:ascii="Times New Roman" w:hAnsi="Times New Roman" w:cs="Times New Roman"/>
              <w:b/>
              <w:i/>
            </w:rPr>
            <w:t xml:space="preserve">II </w:t>
          </w:r>
          <w:r>
            <w:rPr>
              <w:rFonts w:ascii="Times New Roman" w:hAnsi="Times New Roman" w:cs="Times New Roman"/>
              <w:i/>
            </w:rPr>
            <w:t xml:space="preserve"> </w:t>
          </w:r>
          <w:r>
            <w:rPr>
              <w:rFonts w:ascii="Times New Roman" w:hAnsi="Times New Roman" w:cs="Times New Roman"/>
              <w:b/>
              <w:i/>
            </w:rPr>
            <w:t>Podstawowe warunki dotyczące kwalifikowalności kosztów w ramach PT PROW 2014-2020…5</w:t>
          </w:r>
        </w:p>
        <w:p w:rsidR="003B68F1" w:rsidRDefault="00511C98">
          <w:pPr>
            <w:pStyle w:val="Spistreci1"/>
            <w:tabs>
              <w:tab w:val="right" w:leader="dot" w:pos="8919"/>
            </w:tabs>
            <w:rPr>
              <w:rFonts w:eastAsiaTheme="minorEastAsia"/>
              <w:b w:val="0"/>
              <w:bCs w:val="0"/>
              <w:iCs w:val="0"/>
              <w:sz w:val="22"/>
              <w:szCs w:val="22"/>
            </w:rPr>
          </w:pPr>
          <w:hyperlink w:anchor="_Toc10788487">
            <w:r>
              <w:rPr>
                <w:rStyle w:val="czeindeksu"/>
                <w:webHidden/>
                <w:sz w:val="22"/>
                <w:szCs w:val="22"/>
              </w:rPr>
              <w:t xml:space="preserve">III Typy działań </w:t>
            </w:r>
            <w:r>
              <w:rPr>
                <w:rStyle w:val="czeindeksu"/>
                <w:webHidden/>
                <w:sz w:val="22"/>
                <w:szCs w:val="22"/>
              </w:rPr>
              <w:t>możliwych do sfinansowania z pomocy technicznej</w:t>
            </w:r>
            <w:r>
              <w:rPr>
                <w:webHidden/>
              </w:rPr>
              <w:fldChar w:fldCharType="begin"/>
            </w:r>
            <w:r>
              <w:rPr>
                <w:webHidden/>
              </w:rPr>
              <w:instrText>PAGEREF _Toc10788487 \h</w:instrText>
            </w:r>
            <w:r>
              <w:rPr>
                <w:webHidden/>
              </w:rPr>
            </w:r>
            <w:r>
              <w:rPr>
                <w:webHidden/>
              </w:rPr>
              <w:fldChar w:fldCharType="separate"/>
            </w:r>
            <w:r>
              <w:rPr>
                <w:rStyle w:val="czeindeksu"/>
                <w:sz w:val="22"/>
                <w:szCs w:val="22"/>
              </w:rPr>
              <w:tab/>
              <w:t>6</w:t>
            </w:r>
            <w:r>
              <w:rPr>
                <w:webHidden/>
              </w:rPr>
              <w:fldChar w:fldCharType="end"/>
            </w:r>
          </w:hyperlink>
        </w:p>
        <w:p w:rsidR="003B68F1" w:rsidRDefault="00511C98">
          <w:pPr>
            <w:pStyle w:val="Spistreci1"/>
            <w:tabs>
              <w:tab w:val="right" w:leader="dot" w:pos="8919"/>
            </w:tabs>
            <w:rPr>
              <w:sz w:val="22"/>
              <w:szCs w:val="22"/>
            </w:rPr>
          </w:pPr>
          <w:hyperlink w:anchor="_Toc10788488">
            <w:r>
              <w:rPr>
                <w:rStyle w:val="czeindeksu"/>
                <w:webHidden/>
                <w:sz w:val="22"/>
                <w:szCs w:val="22"/>
              </w:rPr>
              <w:t>IV Koszty podlegające refundacji w ramach schematu I  oraz schematu  II (w zakres</w:t>
            </w:r>
            <w:r>
              <w:rPr>
                <w:rStyle w:val="czeindeksu"/>
                <w:webHidden/>
                <w:sz w:val="22"/>
                <w:szCs w:val="22"/>
              </w:rPr>
              <w:t>ie wsparcia funkcjonowania krajowej sieci obszarów wiejskich)</w:t>
            </w:r>
            <w:r>
              <w:rPr>
                <w:webHidden/>
              </w:rPr>
              <w:fldChar w:fldCharType="begin"/>
            </w:r>
            <w:r>
              <w:rPr>
                <w:webHidden/>
              </w:rPr>
              <w:instrText>PAGEREF _Toc10788488 \h</w:instrText>
            </w:r>
            <w:r>
              <w:rPr>
                <w:webHidden/>
              </w:rPr>
            </w:r>
            <w:r>
              <w:rPr>
                <w:webHidden/>
              </w:rPr>
              <w:fldChar w:fldCharType="separate"/>
            </w:r>
            <w:r>
              <w:rPr>
                <w:rStyle w:val="czeindeksu"/>
                <w:sz w:val="22"/>
                <w:szCs w:val="22"/>
              </w:rPr>
              <w:tab/>
              <w:t>8</w:t>
            </w:r>
            <w:r>
              <w:rPr>
                <w:webHidden/>
              </w:rPr>
              <w:fldChar w:fldCharType="end"/>
            </w:r>
          </w:hyperlink>
        </w:p>
        <w:p w:rsidR="003B68F1" w:rsidRDefault="00511C98">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Wynagrodzenia pracowników podmiotu uprawnionego oraz inne świadczenia pieniężne przyznawane pracowniko</w:t>
          </w:r>
          <w:r>
            <w:rPr>
              <w:rFonts w:ascii="Times New Roman" w:hAnsi="Times New Roman" w:cs="Times New Roman"/>
              <w:b/>
              <w:i/>
            </w:rPr>
            <w:t>m podmiotu uprawionego w związku z wykonywaną pracą wraz ze składkami na ubezpieczenia społeczne, płaconymi przez pracodawcę, oraz składkami na Fundusz Pracy i Fundusz Gwarantowanych Świadczeń Pracowniczych ……………………..8</w:t>
          </w:r>
        </w:p>
        <w:p w:rsidR="003B68F1" w:rsidRDefault="00511C98">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Świadczenia pieniężne przyznane praco</w:t>
          </w:r>
          <w:r>
            <w:rPr>
              <w:rFonts w:ascii="Times New Roman" w:hAnsi="Times New Roman" w:cs="Times New Roman"/>
              <w:b/>
              <w:i/>
            </w:rPr>
            <w:t xml:space="preserve">wnikowi podmiotu uprawnionego w związku </w:t>
          </w:r>
          <w:r>
            <w:rPr>
              <w:rFonts w:ascii="Times New Roman" w:hAnsi="Times New Roman" w:cs="Times New Roman"/>
              <w:b/>
              <w:i/>
            </w:rPr>
            <w:br/>
            <w:t>z podnoszeniem  kwalifikacji zawodowych……………………………………………………..12</w:t>
          </w:r>
        </w:p>
        <w:p w:rsidR="003B68F1" w:rsidRDefault="00511C98">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Dostawy i usługi…………………………………………………………………………………13</w:t>
          </w:r>
        </w:p>
        <w:p w:rsidR="003B68F1" w:rsidRDefault="00511C98">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Remont i modernizacja pomieszczeń przeznaczonych do wykonywania obowiązków służbowych przez pracownik</w:t>
          </w:r>
          <w:r>
            <w:rPr>
              <w:rFonts w:ascii="Times New Roman" w:hAnsi="Times New Roman" w:cs="Times New Roman"/>
              <w:b/>
              <w:i/>
            </w:rPr>
            <w:t>ów podmiotu uprawnionego…………………………………………………..17</w:t>
          </w:r>
        </w:p>
        <w:p w:rsidR="003B68F1" w:rsidRDefault="00511C98">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Koszty związane z zapewnieniem warunków pracy pracownikowi podmiotu uprawnionego, niezbędnych do wykonywania zadań kwalifikowalnych……………………………………….18</w:t>
          </w:r>
        </w:p>
        <w:p w:rsidR="003B68F1" w:rsidRDefault="00511C98">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Koszty przejazdów, dojazdów środkami komunikacji miejscowe</w:t>
          </w:r>
          <w:r>
            <w:rPr>
              <w:rFonts w:ascii="Times New Roman" w:hAnsi="Times New Roman" w:cs="Times New Roman"/>
              <w:b/>
              <w:i/>
            </w:rPr>
            <w:t>j i noclegów…………………19</w:t>
          </w:r>
        </w:p>
        <w:p w:rsidR="003B68F1" w:rsidRDefault="00511C98">
          <w:pPr>
            <w:pStyle w:val="Spistreci1"/>
            <w:tabs>
              <w:tab w:val="right" w:leader="dot" w:pos="8919"/>
            </w:tabs>
            <w:rPr>
              <w:sz w:val="22"/>
              <w:szCs w:val="22"/>
            </w:rPr>
          </w:pPr>
          <w:hyperlink w:anchor="_Toc10788489">
            <w:r>
              <w:rPr>
                <w:rStyle w:val="czeindeksu"/>
                <w:webHidden/>
                <w:sz w:val="22"/>
                <w:szCs w:val="22"/>
              </w:rPr>
              <w:t>V Koszty podlegające refundacji w ramach schematu II</w:t>
            </w:r>
            <w:r>
              <w:rPr>
                <w:webHidden/>
              </w:rPr>
              <w:fldChar w:fldCharType="begin"/>
            </w:r>
            <w:r>
              <w:rPr>
                <w:webHidden/>
              </w:rPr>
              <w:instrText>PAGEREF _Toc10788489 \h</w:instrText>
            </w:r>
            <w:r>
              <w:rPr>
                <w:webHidden/>
              </w:rPr>
            </w:r>
            <w:r>
              <w:rPr>
                <w:webHidden/>
              </w:rPr>
              <w:fldChar w:fldCharType="separate"/>
            </w:r>
            <w:r>
              <w:rPr>
                <w:rStyle w:val="czeindeksu"/>
                <w:sz w:val="22"/>
                <w:szCs w:val="22"/>
              </w:rPr>
              <w:tab/>
              <w:t>20</w:t>
            </w:r>
            <w:r>
              <w:rPr>
                <w:webHidden/>
              </w:rPr>
              <w:fldChar w:fldCharType="end"/>
            </w:r>
          </w:hyperlink>
        </w:p>
        <w:p w:rsidR="003B68F1" w:rsidRDefault="00511C98">
          <w:pPr>
            <w:pStyle w:val="Akapitzlist"/>
            <w:numPr>
              <w:ilvl w:val="0"/>
              <w:numId w:val="15"/>
            </w:numPr>
            <w:spacing w:before="60" w:after="60"/>
            <w:jc w:val="both"/>
            <w:rPr>
              <w:rFonts w:ascii="Times New Roman" w:hAnsi="Times New Roman" w:cs="Times New Roman"/>
              <w:b/>
              <w:i/>
            </w:rPr>
          </w:pPr>
          <w:r>
            <w:rPr>
              <w:rFonts w:ascii="Times New Roman" w:hAnsi="Times New Roman" w:cs="Times New Roman"/>
              <w:b/>
              <w:i/>
            </w:rPr>
            <w:t>Koszty kwalifikowalne w ramach dwuletnich planów opera</w:t>
          </w:r>
          <w:r>
            <w:rPr>
              <w:rFonts w:ascii="Times New Roman" w:hAnsi="Times New Roman" w:cs="Times New Roman"/>
              <w:b/>
              <w:i/>
            </w:rPr>
            <w:t>cyjnych, w tym Planu Komunikacyjnego……………………………………………………………………………….20</w:t>
          </w:r>
        </w:p>
        <w:p w:rsidR="003B68F1" w:rsidRDefault="00511C98">
          <w:pPr>
            <w:pStyle w:val="Akapitzlist"/>
            <w:numPr>
              <w:ilvl w:val="0"/>
              <w:numId w:val="15"/>
            </w:numPr>
            <w:spacing w:before="60" w:after="60"/>
            <w:jc w:val="both"/>
            <w:rPr>
              <w:rFonts w:ascii="Times New Roman" w:hAnsi="Times New Roman" w:cs="Times New Roman"/>
              <w:b/>
              <w:i/>
            </w:rPr>
          </w:pPr>
          <w:r>
            <w:rPr>
              <w:rFonts w:ascii="Times New Roman" w:hAnsi="Times New Roman" w:cs="Times New Roman"/>
              <w:b/>
              <w:i/>
            </w:rPr>
            <w:t>Koszty podlegające refundacji w ramach schematu II d</w:t>
          </w:r>
          <w:r>
            <w:rPr>
              <w:rFonts w:ascii="Times New Roman" w:hAnsi="Times New Roman" w:cs="Times New Roman"/>
              <w:b/>
              <w:bCs/>
              <w:i/>
            </w:rPr>
            <w:t>la działania 8 – Plan komunikacyjny PROW 2014-2020……………………………………………………………………………….25</w:t>
          </w:r>
        </w:p>
        <w:p w:rsidR="003B68F1" w:rsidRDefault="00511C98">
          <w:pPr>
            <w:pStyle w:val="Spistreci1"/>
            <w:tabs>
              <w:tab w:val="right" w:leader="dot" w:pos="8919"/>
            </w:tabs>
            <w:rPr>
              <w:rFonts w:eastAsiaTheme="minorEastAsia"/>
              <w:b w:val="0"/>
              <w:bCs w:val="0"/>
              <w:iCs w:val="0"/>
              <w:sz w:val="22"/>
              <w:szCs w:val="22"/>
            </w:rPr>
          </w:pPr>
          <w:hyperlink w:anchor="_Toc10788490">
            <w:r>
              <w:rPr>
                <w:rStyle w:val="czeindeksu"/>
                <w:webHidden/>
                <w:sz w:val="22"/>
                <w:szCs w:val="22"/>
              </w:rPr>
              <w:t xml:space="preserve">VI Podział </w:t>
            </w:r>
            <w:r>
              <w:rPr>
                <w:rStyle w:val="czeindeksu"/>
                <w:webHidden/>
                <w:sz w:val="22"/>
                <w:szCs w:val="22"/>
              </w:rPr>
              <w:t>finansowania poszczególnych kosztów pomiędzy schematami</w:t>
            </w:r>
            <w:r>
              <w:rPr>
                <w:webHidden/>
              </w:rPr>
              <w:fldChar w:fldCharType="begin"/>
            </w:r>
            <w:r>
              <w:rPr>
                <w:webHidden/>
              </w:rPr>
              <w:instrText>PAGEREF _Toc10788490 \h</w:instrText>
            </w:r>
            <w:r>
              <w:rPr>
                <w:webHidden/>
              </w:rPr>
            </w:r>
            <w:r>
              <w:rPr>
                <w:webHidden/>
              </w:rPr>
              <w:fldChar w:fldCharType="separate"/>
            </w:r>
            <w:r>
              <w:rPr>
                <w:rStyle w:val="czeindeksu"/>
                <w:sz w:val="22"/>
                <w:szCs w:val="22"/>
              </w:rPr>
              <w:tab/>
              <w:t>28</w:t>
            </w:r>
            <w:r>
              <w:rPr>
                <w:webHidden/>
              </w:rPr>
              <w:fldChar w:fldCharType="end"/>
            </w:r>
          </w:hyperlink>
        </w:p>
        <w:p w:rsidR="003B68F1" w:rsidRDefault="00511C98">
          <w:pPr>
            <w:pStyle w:val="Spistreci1"/>
            <w:tabs>
              <w:tab w:val="right" w:leader="dot" w:pos="8919"/>
            </w:tabs>
            <w:rPr>
              <w:rFonts w:eastAsiaTheme="minorEastAsia"/>
              <w:b w:val="0"/>
              <w:bCs w:val="0"/>
              <w:iCs w:val="0"/>
              <w:sz w:val="22"/>
              <w:szCs w:val="22"/>
            </w:rPr>
          </w:pPr>
          <w:hyperlink w:anchor="_Toc10788491">
            <w:r>
              <w:rPr>
                <w:rStyle w:val="czeindeksu"/>
                <w:webHidden/>
                <w:sz w:val="22"/>
                <w:szCs w:val="22"/>
              </w:rPr>
              <w:t>VII Koszty niekwalifikowalne w ramach PT PROW 2014-2020</w:t>
            </w:r>
            <w:r>
              <w:rPr>
                <w:webHidden/>
              </w:rPr>
              <w:fldChar w:fldCharType="begin"/>
            </w:r>
            <w:r>
              <w:rPr>
                <w:webHidden/>
              </w:rPr>
              <w:instrText>PAGEREF _Toc107884</w:instrText>
            </w:r>
            <w:r>
              <w:rPr>
                <w:webHidden/>
              </w:rPr>
              <w:instrText>91 \h</w:instrText>
            </w:r>
            <w:r>
              <w:rPr>
                <w:webHidden/>
              </w:rPr>
            </w:r>
            <w:r>
              <w:rPr>
                <w:webHidden/>
              </w:rPr>
              <w:fldChar w:fldCharType="separate"/>
            </w:r>
            <w:r>
              <w:rPr>
                <w:rStyle w:val="czeindeksu"/>
                <w:sz w:val="22"/>
                <w:szCs w:val="22"/>
              </w:rPr>
              <w:tab/>
              <w:t>28</w:t>
            </w:r>
            <w:r>
              <w:rPr>
                <w:webHidden/>
              </w:rPr>
              <w:fldChar w:fldCharType="end"/>
            </w:r>
          </w:hyperlink>
        </w:p>
        <w:p w:rsidR="003B68F1" w:rsidRDefault="00511C98">
          <w:pPr>
            <w:pStyle w:val="Spistreci1"/>
            <w:tabs>
              <w:tab w:val="right" w:leader="dot" w:pos="8919"/>
            </w:tabs>
            <w:rPr>
              <w:sz w:val="22"/>
              <w:szCs w:val="22"/>
            </w:rPr>
          </w:pPr>
          <w:hyperlink w:anchor="_Toc10788493">
            <w:r>
              <w:rPr>
                <w:webHidden/>
              </w:rPr>
              <w:fldChar w:fldCharType="begin"/>
            </w:r>
            <w:r>
              <w:rPr>
                <w:webHidden/>
              </w:rPr>
              <w:instrText>PAGEREF _Toc10788493 \h</w:instrText>
            </w:r>
            <w:r>
              <w:rPr>
                <w:webHidden/>
              </w:rPr>
            </w:r>
            <w:r>
              <w:rPr>
                <w:webHidden/>
              </w:rPr>
              <w:fldChar w:fldCharType="separate"/>
            </w:r>
            <w:r>
              <w:rPr>
                <w:rStyle w:val="czeindeksu"/>
                <w:webHidden/>
                <w:sz w:val="22"/>
                <w:szCs w:val="22"/>
              </w:rPr>
              <w:t>VIII  Stosowanie trybów wyboru wykonawcy określonych w ustawie PZP………………………..31</w:t>
            </w:r>
            <w:r>
              <w:rPr>
                <w:webHidden/>
              </w:rPr>
              <w:fldChar w:fldCharType="end"/>
            </w:r>
          </w:hyperlink>
        </w:p>
        <w:p w:rsidR="003B68F1" w:rsidRDefault="00511C98">
          <w:pPr>
            <w:pStyle w:val="Spistreci1"/>
            <w:tabs>
              <w:tab w:val="right" w:leader="dot" w:pos="8919"/>
            </w:tabs>
            <w:rPr>
              <w:rFonts w:eastAsiaTheme="minorEastAsia"/>
              <w:b w:val="0"/>
              <w:bCs w:val="0"/>
              <w:iCs w:val="0"/>
              <w:sz w:val="22"/>
              <w:szCs w:val="22"/>
            </w:rPr>
          </w:pPr>
          <w:hyperlink w:anchor="_Toc10788493">
            <w:r>
              <w:rPr>
                <w:rStyle w:val="czeindeksu"/>
                <w:webHidden/>
                <w:sz w:val="22"/>
                <w:szCs w:val="22"/>
              </w:rPr>
              <w:t>IX Przykładowe opinie wydane przez IZ odnośnie do finansowania wydatków w ramach PT PROW 2014-2020</w:t>
            </w:r>
            <w:r>
              <w:rPr>
                <w:webHidden/>
              </w:rPr>
              <w:fldChar w:fldCharType="begin"/>
            </w:r>
            <w:r>
              <w:rPr>
                <w:webHidden/>
              </w:rPr>
              <w:instrText>PAGEREF _Toc10788493 \h</w:instrText>
            </w:r>
            <w:r>
              <w:rPr>
                <w:webHidden/>
              </w:rPr>
            </w:r>
            <w:r>
              <w:rPr>
                <w:webHidden/>
              </w:rPr>
              <w:fldChar w:fldCharType="separate"/>
            </w:r>
            <w:r>
              <w:rPr>
                <w:rStyle w:val="czeindeksu"/>
                <w:sz w:val="22"/>
                <w:szCs w:val="22"/>
              </w:rPr>
              <w:tab/>
              <w:t>31</w:t>
            </w:r>
            <w:r>
              <w:rPr>
                <w:webHidden/>
              </w:rPr>
              <w:fldChar w:fldCharType="end"/>
            </w:r>
          </w:hyperlink>
        </w:p>
        <w:p w:rsidR="003B68F1" w:rsidRDefault="00511C98">
          <w:pPr>
            <w:rPr>
              <w:rFonts w:ascii="Times New Roman" w:hAnsi="Times New Roman" w:cs="Times New Roman"/>
              <w:i/>
            </w:rPr>
          </w:pPr>
          <w:r>
            <w:rPr>
              <w:rFonts w:ascii="Times New Roman" w:hAnsi="Times New Roman" w:cs="Times New Roman"/>
              <w:i/>
            </w:rPr>
            <w:fldChar w:fldCharType="end"/>
          </w:r>
        </w:p>
      </w:sdtContent>
    </w:sdt>
    <w:p w:rsidR="003B68F1" w:rsidRDefault="003B68F1">
      <w:pPr>
        <w:spacing w:after="0" w:line="240" w:lineRule="auto"/>
        <w:jc w:val="both"/>
        <w:rPr>
          <w:rFonts w:ascii="Times New Roman" w:hAnsi="Times New Roman" w:cs="Times New Roman"/>
          <w:sz w:val="24"/>
          <w:szCs w:val="24"/>
        </w:rPr>
      </w:pPr>
    </w:p>
    <w:p w:rsidR="003B68F1" w:rsidRDefault="00511C98">
      <w:pPr>
        <w:rPr>
          <w:rFonts w:ascii="Arial" w:hAnsi="Arial" w:cs="Arial"/>
          <w:b/>
          <w:sz w:val="32"/>
          <w:szCs w:val="32"/>
          <w:u w:val="single"/>
        </w:rPr>
      </w:pPr>
      <w:r>
        <w:br w:type="page"/>
      </w:r>
    </w:p>
    <w:p w:rsidR="003B68F1" w:rsidRDefault="00511C98">
      <w:pPr>
        <w:pStyle w:val="Nagwek1"/>
        <w:rPr>
          <w:rFonts w:ascii="Times New Roman" w:hAnsi="Times New Roman"/>
          <w:color w:val="auto"/>
        </w:rPr>
      </w:pPr>
      <w:bookmarkStart w:id="1" w:name="_Toc10788485"/>
      <w:r>
        <w:rPr>
          <w:color w:val="auto"/>
        </w:rPr>
        <w:lastRenderedPageBreak/>
        <w:t xml:space="preserve">I.  </w:t>
      </w:r>
      <w:r>
        <w:rPr>
          <w:rFonts w:ascii="Times New Roman" w:hAnsi="Times New Roman"/>
          <w:color w:val="auto"/>
        </w:rPr>
        <w:t>Wykaz pojęć i skrótów</w:t>
      </w:r>
      <w:bookmarkEnd w:id="1"/>
    </w:p>
    <w:p w:rsidR="003B68F1" w:rsidRDefault="003B68F1">
      <w:pPr>
        <w:spacing w:after="0" w:line="240" w:lineRule="auto"/>
        <w:jc w:val="both"/>
        <w:rPr>
          <w:rFonts w:ascii="Arial" w:hAnsi="Arial" w:cs="Arial"/>
          <w:b/>
          <w:sz w:val="32"/>
          <w:szCs w:val="32"/>
          <w:u w:val="single"/>
        </w:rPr>
      </w:pP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rozporządzenie ramowe </w:t>
      </w:r>
      <w:r>
        <w:rPr>
          <w:rFonts w:ascii="Times New Roman" w:eastAsia="Times New Roman" w:hAnsi="Times New Roman" w:cs="Times New Roman"/>
          <w:sz w:val="24"/>
          <w:szCs w:val="24"/>
        </w:rPr>
        <w:t>–</w:t>
      </w:r>
      <w:r>
        <w:rPr>
          <w:rFonts w:ascii="Times New Roman" w:hAnsi="Times New Roman" w:cs="Times New Roman"/>
          <w:sz w:val="24"/>
          <w:szCs w:val="24"/>
        </w:rPr>
        <w:t xml:space="preserve"> rozporządzenie Parlamentu Europejskiego i Rady (UE) </w:t>
      </w:r>
      <w:r>
        <w:rPr>
          <w:rFonts w:ascii="Times New Roman" w:hAnsi="Times New Roman" w:cs="Times New Roman"/>
          <w:sz w:val="24"/>
          <w:szCs w:val="24"/>
        </w:rPr>
        <w:br/>
        <w:t>nr 1303/2013 z dnia 17 grudnia 2013 r. ustanawiające wspólne przepisy dotyczące Europejskiego Funduszu Rozwoju Regionalnego, Europejskiego Funduszu S</w:t>
      </w:r>
      <w:r>
        <w:rPr>
          <w:rFonts w:ascii="Times New Roman" w:hAnsi="Times New Roman" w:cs="Times New Roman"/>
          <w:sz w:val="24"/>
          <w:szCs w:val="24"/>
        </w:rPr>
        <w:t>połecznego, Funduszu Spójności, Europejskiego Funduszu Rolnego na rzecz Rozwoju Obszarów Wiejskich oraz Europejskiego Funduszu Morskiego i Rybackiego oraz ustanawiające przepisy ogólne dotyczące Europejskiego Funduszu Rozwoju Regionalnego,  Europejskiego F</w:t>
      </w:r>
      <w:r>
        <w:rPr>
          <w:rFonts w:ascii="Times New Roman" w:hAnsi="Times New Roman" w:cs="Times New Roman"/>
          <w:sz w:val="24"/>
          <w:szCs w:val="24"/>
        </w:rPr>
        <w:t xml:space="preserve">unduszu Społecznego, Funduszu Spójności </w:t>
      </w:r>
      <w:r>
        <w:rPr>
          <w:rFonts w:ascii="Times New Roman" w:hAnsi="Times New Roman" w:cs="Times New Roman"/>
          <w:sz w:val="24"/>
          <w:szCs w:val="24"/>
        </w:rPr>
        <w:br/>
        <w:t>i Europejskiego Funduszu Morskiego i Rybackiego oraz uchylające rozporządzenie Rady (WE) nr 1083/2006 (Dz. Urz. UE L 347 z 20.12.2013, str. 320 z późn. zm.);</w:t>
      </w: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eastAsia="Times New Roman" w:hAnsi="Times New Roman" w:cs="Times New Roman"/>
          <w:sz w:val="24"/>
          <w:szCs w:val="24"/>
        </w:rPr>
        <w:t xml:space="preserve">ozporządzenie nr 1305/2013 – rozporządzenie </w:t>
      </w:r>
      <w:r>
        <w:rPr>
          <w:rFonts w:ascii="Times New Roman" w:hAnsi="Times New Roman" w:cs="Times New Roman"/>
          <w:sz w:val="24"/>
          <w:szCs w:val="24"/>
        </w:rPr>
        <w:t xml:space="preserve">Parlamentu Europejskiego i Rady (UE) nr 1305/2013 z dnia 17 grudnia 2013 r. w </w:t>
      </w:r>
      <w:r>
        <w:rPr>
          <w:rFonts w:ascii="Times New Roman" w:hAnsi="Times New Roman" w:cs="Times New Roman"/>
          <w:bCs/>
          <w:sz w:val="24"/>
          <w:szCs w:val="24"/>
        </w:rPr>
        <w:t xml:space="preserve">sprawie wsparcia rozwoju obszarów wiejskich przez Europejski Fundusz Rolny na rzecz Rozwoju Obszarów Wiejskich (EFRROW) </w:t>
      </w:r>
      <w:r>
        <w:rPr>
          <w:rFonts w:ascii="Times New Roman" w:hAnsi="Times New Roman" w:cs="Times New Roman"/>
          <w:bCs/>
          <w:sz w:val="24"/>
          <w:szCs w:val="24"/>
        </w:rPr>
        <w:br/>
        <w:t xml:space="preserve">i uchylające rozporządzenie Rady (WE) nr 1698/2005 </w:t>
      </w:r>
      <w:r>
        <w:rPr>
          <w:rFonts w:ascii="Times New Roman" w:hAnsi="Times New Roman" w:cs="Times New Roman"/>
          <w:sz w:val="24"/>
          <w:szCs w:val="24"/>
        </w:rPr>
        <w:t>(Dz. U</w:t>
      </w:r>
      <w:r>
        <w:rPr>
          <w:rFonts w:ascii="Times New Roman" w:hAnsi="Times New Roman" w:cs="Times New Roman"/>
          <w:sz w:val="24"/>
          <w:szCs w:val="24"/>
        </w:rPr>
        <w:t>rz. UE L 347 z 20.12.2013, str. 487, z późn. zm.)</w:t>
      </w:r>
      <w:r>
        <w:rPr>
          <w:rFonts w:ascii="Times New Roman" w:hAnsi="Times New Roman" w:cs="Times New Roman"/>
          <w:bCs/>
          <w:sz w:val="24"/>
          <w:szCs w:val="24"/>
        </w:rPr>
        <w:t>;</w:t>
      </w: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Program – zatwierdzony w dniu 12 grudnia 2014 r. decyzją wykonawczą Komisji Europejskiej nr C(2014) 9783 Program Rozwoju Obszarów Wiejskich na lata 2014-2020 dla Polski do celów wsparcia w ramach Europejsk</w:t>
      </w:r>
      <w:r>
        <w:rPr>
          <w:rFonts w:ascii="Times New Roman" w:hAnsi="Times New Roman" w:cs="Times New Roman"/>
          <w:sz w:val="24"/>
          <w:szCs w:val="24"/>
        </w:rPr>
        <w:t xml:space="preserve">iego Funduszu Rolnego na rzecz Rozwoju Obszarów Wiejskich, którego aktualna wersja została zamieszczona na stronie </w:t>
      </w:r>
      <w:r>
        <w:rPr>
          <w:rFonts w:ascii="Times New Roman" w:hAnsi="Times New Roman" w:cs="Times New Roman"/>
          <w:sz w:val="24"/>
          <w:szCs w:val="24"/>
        </w:rPr>
        <w:br/>
        <w:t>internetowej https://www.gov.pl/web/rolnictwo/-program-rozwoju-obszarow-wiejskich-2014-2020-prow-2014-2020;</w:t>
      </w:r>
    </w:p>
    <w:p w:rsidR="003B68F1" w:rsidRDefault="00511C98">
      <w:pPr>
        <w:pStyle w:val="Default"/>
        <w:numPr>
          <w:ilvl w:val="0"/>
          <w:numId w:val="1"/>
        </w:numPr>
        <w:spacing w:before="60" w:after="60"/>
        <w:jc w:val="both"/>
        <w:rPr>
          <w:color w:val="auto"/>
        </w:rPr>
      </w:pPr>
      <w:r>
        <w:t>ustawa ROW – ustawa z dnia 20 lu</w:t>
      </w:r>
      <w:r>
        <w:t xml:space="preserve">tego 2015 r. o wspieraniu rozwoju obszarów wiejskich z udziałem środków Europejskiego Funduszu Rolnego na rzecz Rozwoju Obszarów Wiejskich w ramach Programu Rozwoju Obszarów Wiejskich na lata 2014–2020 </w:t>
      </w:r>
      <w:r>
        <w:br/>
      </w:r>
      <w:r>
        <w:rPr>
          <w:color w:val="auto"/>
        </w:rPr>
        <w:t>(Dz. U. z 2020 r. poz. 217</w:t>
      </w:r>
      <w:r>
        <w:rPr>
          <w:color w:val="auto"/>
          <w:sz w:val="22"/>
          <w:szCs w:val="22"/>
        </w:rPr>
        <w:t xml:space="preserve"> i 300</w:t>
      </w:r>
      <w:r>
        <w:rPr>
          <w:color w:val="auto"/>
        </w:rPr>
        <w:t>);</w:t>
      </w:r>
    </w:p>
    <w:p w:rsidR="003B68F1" w:rsidRDefault="00511C98">
      <w:pPr>
        <w:numPr>
          <w:ilvl w:val="0"/>
          <w:numId w:val="1"/>
        </w:numPr>
        <w:spacing w:before="144" w:after="0" w:line="240" w:lineRule="auto"/>
        <w:jc w:val="both"/>
        <w:rPr>
          <w:rFonts w:ascii="Times New Roman" w:hAnsi="Times New Roman" w:cs="Times New Roman"/>
          <w:sz w:val="24"/>
          <w:szCs w:val="24"/>
        </w:rPr>
      </w:pPr>
      <w:r>
        <w:rPr>
          <w:rFonts w:ascii="Times New Roman" w:hAnsi="Times New Roman" w:cs="Times New Roman"/>
          <w:sz w:val="24"/>
          <w:szCs w:val="24"/>
        </w:rPr>
        <w:t>ustawa PZP – ustaw</w:t>
      </w:r>
      <w:r>
        <w:rPr>
          <w:rFonts w:ascii="Times New Roman" w:hAnsi="Times New Roman" w:cs="Times New Roman"/>
          <w:sz w:val="24"/>
          <w:szCs w:val="24"/>
        </w:rPr>
        <w:t xml:space="preserve">a z dnia 29 stycznia 2004 r. Prawo zamówień publicznych  </w:t>
      </w:r>
      <w:r>
        <w:rPr>
          <w:rFonts w:ascii="Times New Roman" w:hAnsi="Times New Roman" w:cs="Times New Roman"/>
          <w:sz w:val="24"/>
          <w:szCs w:val="24"/>
        </w:rPr>
        <w:br/>
        <w:t>(Dz. U. z 2019 poz. 1843);</w:t>
      </w:r>
    </w:p>
    <w:p w:rsidR="003B68F1" w:rsidRDefault="00511C98">
      <w:pPr>
        <w:numPr>
          <w:ilvl w:val="0"/>
          <w:numId w:val="1"/>
        </w:numPr>
        <w:spacing w:before="144" w:after="0" w:line="240" w:lineRule="auto"/>
        <w:jc w:val="both"/>
        <w:rPr>
          <w:rFonts w:ascii="Times New Roman" w:hAnsi="Times New Roman" w:cs="Times New Roman"/>
          <w:sz w:val="24"/>
          <w:szCs w:val="24"/>
        </w:rPr>
      </w:pPr>
      <w:r>
        <w:rPr>
          <w:rFonts w:ascii="Times New Roman" w:hAnsi="Times New Roman" w:cs="Times New Roman"/>
          <w:sz w:val="24"/>
          <w:szCs w:val="24"/>
        </w:rPr>
        <w:t>ustawa o finansach publicznych – ustawa z dnia 27 sierpnia 2009 r. o finansach publicznych (Dz. U. z 2019 r. poz. 869);</w:t>
      </w: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rozporządzenie o PT – rozporządzenie Ministra Rolni</w:t>
      </w:r>
      <w:r>
        <w:rPr>
          <w:rFonts w:ascii="Times New Roman" w:hAnsi="Times New Roman" w:cs="Times New Roman"/>
          <w:sz w:val="24"/>
          <w:szCs w:val="24"/>
        </w:rPr>
        <w:t>ctwa i Rozwo</w:t>
      </w:r>
      <w:r>
        <w:rPr>
          <w:rFonts w:ascii="Times New Roman" w:hAnsi="Times New Roman" w:cs="Times New Roman"/>
          <w:bCs/>
          <w:sz w:val="24"/>
          <w:szCs w:val="24"/>
        </w:rPr>
        <w:t xml:space="preserve">ju Wsi </w:t>
      </w:r>
      <w:r>
        <w:rPr>
          <w:rFonts w:ascii="Times New Roman" w:hAnsi="Times New Roman" w:cs="Times New Roman"/>
          <w:sz w:val="24"/>
          <w:szCs w:val="24"/>
        </w:rPr>
        <w:t xml:space="preserve">z dnia </w:t>
      </w:r>
      <w:r>
        <w:rPr>
          <w:rFonts w:ascii="Times New Roman" w:hAnsi="Times New Roman" w:cs="Times New Roman"/>
          <w:sz w:val="24"/>
          <w:szCs w:val="24"/>
        </w:rPr>
        <w:br/>
        <w:t xml:space="preserve">20 września 2016 r. </w:t>
      </w:r>
      <w:r>
        <w:rPr>
          <w:rFonts w:ascii="Times New Roman" w:hAnsi="Times New Roman" w:cs="Times New Roman"/>
          <w:bCs/>
          <w:sz w:val="24"/>
          <w:szCs w:val="24"/>
        </w:rPr>
        <w:t>w sprawie szczegółowych warunków i trybu przyznawania oraz wypłaty pomocy technicznej w ramach Programu Rozwoju Obszarów Wiejskich na lata 2014–2020 (</w:t>
      </w:r>
      <w:r>
        <w:rPr>
          <w:rFonts w:ascii="Times New Roman" w:eastAsia="Times New Roman" w:hAnsi="Times New Roman" w:cs="Times New Roman"/>
          <w:sz w:val="24"/>
          <w:szCs w:val="24"/>
          <w:shd w:val="clear" w:color="auto" w:fill="FFFFFF"/>
        </w:rPr>
        <w:t xml:space="preserve">Dz. U. poz. 1549, z 2017 r. poz. 107 i 2115 oraz z 2018 r. </w:t>
      </w:r>
      <w:r>
        <w:rPr>
          <w:rFonts w:ascii="Times New Roman" w:eastAsia="Times New Roman" w:hAnsi="Times New Roman" w:cs="Times New Roman"/>
          <w:sz w:val="24"/>
          <w:szCs w:val="24"/>
          <w:shd w:val="clear" w:color="auto" w:fill="FFFFFF"/>
        </w:rPr>
        <w:t>poz. 2368</w:t>
      </w:r>
      <w:r>
        <w:rPr>
          <w:rFonts w:ascii="Times New Roman" w:hAnsi="Times New Roman" w:cs="Times New Roman"/>
          <w:bCs/>
          <w:sz w:val="24"/>
          <w:szCs w:val="24"/>
        </w:rPr>
        <w:t>);</w:t>
      </w: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bCs/>
          <w:sz w:val="24"/>
          <w:szCs w:val="24"/>
        </w:rPr>
        <w:t>ozporządzenie dot. podróży służbowych – rozporządzenie Ministra Pracy i Polityki Społecznej z dnia 29 stycznia 2013 r. w sprawie należności przysługujących pracownikowi zatrudnionemu w państwowej lub samorządowej jednostce sfery budżetowej z t</w:t>
      </w:r>
      <w:r>
        <w:rPr>
          <w:rFonts w:ascii="Times New Roman" w:hAnsi="Times New Roman" w:cs="Times New Roman"/>
          <w:bCs/>
          <w:sz w:val="24"/>
          <w:szCs w:val="24"/>
        </w:rPr>
        <w:t>ytułu podróży służbowej (Dz. U. poz. 167);</w:t>
      </w: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rozporządzenie o sposobie dokonania zwrotu kosztów używania do celów służbowych samochodów osobowych – rozporządzenie Ministra Infrastruktury z dnia 25 marca 2002 r. w sprawie warunków ustalania oraz sposobu </w:t>
      </w:r>
      <w:r>
        <w:rPr>
          <w:rFonts w:ascii="Times New Roman" w:hAnsi="Times New Roman" w:cs="Times New Roman"/>
          <w:sz w:val="24"/>
          <w:szCs w:val="24"/>
        </w:rPr>
        <w:t>dokonywania zwrotu kosztów używania do celów służbowych samochodów osobowych, motocykli i motorowerów niebędących własnością pracodawcy (</w:t>
      </w:r>
      <w:r>
        <w:rPr>
          <w:rFonts w:ascii="Times New Roman" w:hAnsi="Times New Roman" w:cs="Times New Roman"/>
          <w:bCs/>
          <w:sz w:val="24"/>
          <w:szCs w:val="24"/>
        </w:rPr>
        <w:t>Dz. U. poz. 271, z późn. zm.);</w:t>
      </w: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rozporządzenie w sprawie wyboru wykonawców zadań – rozporządzenie Ministra Rolnictwa i R</w:t>
      </w:r>
      <w:r>
        <w:rPr>
          <w:rFonts w:ascii="Times New Roman" w:hAnsi="Times New Roman" w:cs="Times New Roman"/>
          <w:sz w:val="24"/>
          <w:szCs w:val="24"/>
        </w:rPr>
        <w:t xml:space="preserve">ozwoju Wsi z dnia 14 lutego 2018 r. w sprawie wyboru wykonawców </w:t>
      </w:r>
      <w:r>
        <w:rPr>
          <w:rFonts w:ascii="Times New Roman" w:hAnsi="Times New Roman" w:cs="Times New Roman"/>
          <w:sz w:val="24"/>
          <w:szCs w:val="24"/>
        </w:rPr>
        <w:lastRenderedPageBreak/>
        <w:t>zadań ujętych w zestawieniu rzeczowo–finansowym operacji oraz warunków dokonywania zmniejszeń kwot pomocy oraz pomocy technicznej (Dz. U. poz. 396);</w:t>
      </w: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rozporządzenie o limitach PT – </w:t>
      </w:r>
      <w:r>
        <w:rPr>
          <w:rFonts w:ascii="Times New Roman" w:eastAsia="Times New Roman" w:hAnsi="Times New Roman" w:cs="Times New Roman"/>
        </w:rPr>
        <w:t>rozporządzen</w:t>
      </w:r>
      <w:r>
        <w:rPr>
          <w:rFonts w:ascii="Times New Roman" w:eastAsia="Times New Roman" w:hAnsi="Times New Roman" w:cs="Times New Roman"/>
        </w:rPr>
        <w:t xml:space="preserve">ie </w:t>
      </w:r>
      <w:proofErr w:type="spellStart"/>
      <w:r>
        <w:rPr>
          <w:rFonts w:ascii="Times New Roman" w:hAnsi="Times New Roman" w:cs="Times New Roman"/>
        </w:rPr>
        <w:t>MRiRW</w:t>
      </w:r>
      <w:proofErr w:type="spellEnd"/>
      <w:r>
        <w:rPr>
          <w:rFonts w:ascii="Times New Roman" w:hAnsi="Times New Roman" w:cs="Times New Roman"/>
        </w:rPr>
        <w:t xml:space="preserve"> z dnia 25 lutego 2016 r. w sprawie określenia wysokości limitów środków dostępnych w ramach schematów pomocy technicznej Programu Rozwoju Obszarów Wiejskich na lata 2014–2020 (Dz. U. poz. 335, z późn. zm.);</w:t>
      </w: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rozporządzenia w sprawie wystawiania fak</w:t>
      </w:r>
      <w:r>
        <w:rPr>
          <w:rFonts w:ascii="Times New Roman" w:hAnsi="Times New Roman" w:cs="Times New Roman"/>
          <w:sz w:val="24"/>
          <w:szCs w:val="24"/>
        </w:rPr>
        <w:t xml:space="preserve">tur – rozporządzenie Ministra Finansów </w:t>
      </w:r>
      <w:r>
        <w:rPr>
          <w:rFonts w:ascii="Times New Roman" w:hAnsi="Times New Roman" w:cs="Times New Roman"/>
          <w:sz w:val="24"/>
          <w:szCs w:val="24"/>
        </w:rPr>
        <w:br/>
        <w:t>z dnia 3 grudnia 2013 r. w sprawie wystawiania faktur (Dz. U. poz. 1485);</w:t>
      </w:r>
    </w:p>
    <w:p w:rsidR="003B68F1" w:rsidRDefault="00511C98">
      <w:pPr>
        <w:pStyle w:val="Akapitzlist"/>
        <w:numPr>
          <w:ilvl w:val="0"/>
          <w:numId w:val="1"/>
        </w:numPr>
        <w:spacing w:before="60" w:after="60" w:line="240" w:lineRule="auto"/>
        <w:rPr>
          <w:rFonts w:ascii="Times New Roman" w:hAnsi="Times New Roman" w:cs="Times New Roman"/>
          <w:sz w:val="24"/>
          <w:szCs w:val="24"/>
        </w:rPr>
      </w:pPr>
      <w:r>
        <w:rPr>
          <w:rFonts w:ascii="Times New Roman" w:hAnsi="Times New Roman" w:cs="Times New Roman"/>
          <w:bCs/>
          <w:sz w:val="24"/>
          <w:szCs w:val="24"/>
        </w:rPr>
        <w:t xml:space="preserve">IZ </w:t>
      </w:r>
      <w:r>
        <w:rPr>
          <w:rFonts w:ascii="Times New Roman" w:hAnsi="Times New Roman" w:cs="Times New Roman"/>
          <w:sz w:val="24"/>
          <w:szCs w:val="24"/>
        </w:rPr>
        <w:t>– instytucja zarządzająca PROW 2014-2020;</w:t>
      </w:r>
    </w:p>
    <w:p w:rsidR="003B68F1" w:rsidRDefault="00511C98">
      <w:pPr>
        <w:pStyle w:val="Akapitzlist"/>
        <w:numPr>
          <w:ilvl w:val="0"/>
          <w:numId w:val="1"/>
        </w:numPr>
        <w:spacing w:before="60" w:after="60" w:line="240" w:lineRule="auto"/>
        <w:rPr>
          <w:rFonts w:ascii="Times New Roman" w:hAnsi="Times New Roman" w:cs="Times New Roman"/>
          <w:sz w:val="24"/>
          <w:szCs w:val="24"/>
        </w:rPr>
      </w:pPr>
      <w:r>
        <w:rPr>
          <w:rFonts w:ascii="Times New Roman" w:hAnsi="Times New Roman" w:cs="Times New Roman"/>
          <w:bCs/>
          <w:sz w:val="24"/>
          <w:szCs w:val="24"/>
        </w:rPr>
        <w:t xml:space="preserve">AP </w:t>
      </w:r>
      <w:r>
        <w:rPr>
          <w:rFonts w:ascii="Times New Roman" w:hAnsi="Times New Roman" w:cs="Times New Roman"/>
          <w:sz w:val="24"/>
          <w:szCs w:val="24"/>
        </w:rPr>
        <w:t>– agencja płatnicza;</w:t>
      </w:r>
    </w:p>
    <w:p w:rsidR="003B68F1" w:rsidRDefault="00511C98">
      <w:pPr>
        <w:pStyle w:val="Akapitzlist"/>
        <w:numPr>
          <w:ilvl w:val="0"/>
          <w:numId w:val="1"/>
        </w:num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PROW 2014-2020 </w:t>
      </w:r>
      <w:r>
        <w:rPr>
          <w:rFonts w:ascii="Times New Roman" w:eastAsia="Times New Roman" w:hAnsi="Times New Roman" w:cs="Times New Roman"/>
          <w:sz w:val="24"/>
          <w:szCs w:val="24"/>
        </w:rPr>
        <w:t xml:space="preserve">– </w:t>
      </w:r>
      <w:r>
        <w:rPr>
          <w:rFonts w:ascii="Times New Roman" w:hAnsi="Times New Roman" w:cs="Times New Roman"/>
          <w:sz w:val="24"/>
          <w:szCs w:val="24"/>
        </w:rPr>
        <w:t>Program Rozwoju Obszarów Wiejskich na lata 2014-2020;</w:t>
      </w:r>
    </w:p>
    <w:p w:rsidR="003B68F1" w:rsidRDefault="00511C98">
      <w:pPr>
        <w:pStyle w:val="Akapitzlist"/>
        <w:numPr>
          <w:ilvl w:val="0"/>
          <w:numId w:val="1"/>
        </w:numPr>
        <w:spacing w:before="60" w:after="60" w:line="240" w:lineRule="auto"/>
        <w:rPr>
          <w:rFonts w:ascii="Times New Roman" w:hAnsi="Times New Roman" w:cs="Times New Roman"/>
          <w:sz w:val="24"/>
          <w:szCs w:val="24"/>
        </w:rPr>
      </w:pPr>
      <w:r>
        <w:rPr>
          <w:rFonts w:ascii="Times New Roman" w:hAnsi="Times New Roman" w:cs="Times New Roman"/>
          <w:bCs/>
          <w:sz w:val="24"/>
          <w:szCs w:val="24"/>
        </w:rPr>
        <w:t>PT</w:t>
      </w:r>
      <w:r>
        <w:rPr>
          <w:rFonts w:ascii="Times New Roman" w:hAnsi="Times New Roman" w:cs="Times New Roman"/>
          <w:bCs/>
          <w:sz w:val="24"/>
          <w:szCs w:val="24"/>
        </w:rPr>
        <w:t xml:space="preserve"> PROW 2014-2020</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rPr>
        <w:t>Pomoc Techniczna w ramach PROW 2014-2020;</w:t>
      </w:r>
    </w:p>
    <w:p w:rsidR="003B68F1" w:rsidRDefault="00511C98">
      <w:pPr>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EFRROW </w:t>
      </w:r>
      <w:r>
        <w:rPr>
          <w:rFonts w:ascii="Times New Roman" w:eastAsia="Times New Roman" w:hAnsi="Times New Roman" w:cs="Times New Roman"/>
          <w:sz w:val="24"/>
          <w:szCs w:val="24"/>
        </w:rPr>
        <w:t>–</w:t>
      </w:r>
      <w:r>
        <w:rPr>
          <w:rFonts w:ascii="Times New Roman" w:hAnsi="Times New Roman" w:cs="Times New Roman"/>
          <w:sz w:val="24"/>
          <w:szCs w:val="24"/>
        </w:rPr>
        <w:t xml:space="preserve"> Europejski Fundusz Rolny na rzecz Rozwoju Obszarów Wiejskich;</w:t>
      </w:r>
    </w:p>
    <w:p w:rsidR="003B68F1" w:rsidRDefault="00511C98">
      <w:pPr>
        <w:pStyle w:val="Akapitzlist"/>
        <w:numPr>
          <w:ilvl w:val="0"/>
          <w:numId w:val="1"/>
        </w:numPr>
        <w:spacing w:before="60" w:after="60" w:line="240" w:lineRule="auto"/>
        <w:rPr>
          <w:rFonts w:ascii="Times New Roman" w:hAnsi="Times New Roman" w:cs="Times New Roman"/>
          <w:sz w:val="24"/>
          <w:szCs w:val="24"/>
        </w:rPr>
      </w:pPr>
      <w:r>
        <w:rPr>
          <w:rFonts w:ascii="Times New Roman" w:hAnsi="Times New Roman" w:cs="Times New Roman"/>
          <w:bCs/>
          <w:sz w:val="24"/>
          <w:szCs w:val="24"/>
        </w:rPr>
        <w:t xml:space="preserve">KM </w:t>
      </w:r>
      <w:r>
        <w:rPr>
          <w:rFonts w:ascii="Times New Roman" w:hAnsi="Times New Roman" w:cs="Times New Roman"/>
          <w:sz w:val="24"/>
          <w:szCs w:val="24"/>
        </w:rPr>
        <w:t>– Komitet Monitorujący PROW 2014-2020;</w:t>
      </w:r>
    </w:p>
    <w:p w:rsidR="003B68F1" w:rsidRDefault="00511C98">
      <w:pPr>
        <w:pStyle w:val="Akapitzlist"/>
        <w:numPr>
          <w:ilvl w:val="0"/>
          <w:numId w:val="1"/>
        </w:num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DWR  </w:t>
      </w:r>
      <w:r>
        <w:rPr>
          <w:rFonts w:ascii="Times New Roman" w:eastAsia="Times New Roman" w:hAnsi="Times New Roman" w:cs="Times New Roman"/>
          <w:sz w:val="24"/>
          <w:szCs w:val="24"/>
        </w:rPr>
        <w:t xml:space="preserve">– </w:t>
      </w:r>
      <w:r>
        <w:rPr>
          <w:rFonts w:ascii="Times New Roman" w:hAnsi="Times New Roman" w:cs="Times New Roman"/>
          <w:sz w:val="24"/>
          <w:szCs w:val="24"/>
        </w:rPr>
        <w:t>dodatkowe wynagrodzenie roczne;</w:t>
      </w:r>
    </w:p>
    <w:p w:rsidR="003B68F1" w:rsidRDefault="00511C98">
      <w:pPr>
        <w:pStyle w:val="Akapitzlist"/>
        <w:numPr>
          <w:ilvl w:val="0"/>
          <w:numId w:val="1"/>
        </w:numPr>
        <w:tabs>
          <w:tab w:val="left" w:pos="284"/>
        </w:tabs>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Schemat I </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Schemat I - Wzmocnienie systemu </w:t>
      </w:r>
      <w:r>
        <w:rPr>
          <w:rFonts w:ascii="Times New Roman" w:hAnsi="Times New Roman" w:cs="Times New Roman"/>
          <w:sz w:val="24"/>
          <w:szCs w:val="24"/>
        </w:rPr>
        <w:t>wdrażania Programu;</w:t>
      </w:r>
    </w:p>
    <w:p w:rsidR="003B68F1" w:rsidRDefault="00511C98">
      <w:pPr>
        <w:pStyle w:val="Akapitzlist"/>
        <w:numPr>
          <w:ilvl w:val="0"/>
          <w:numId w:val="1"/>
        </w:numPr>
        <w:tabs>
          <w:tab w:val="left" w:pos="284"/>
        </w:tabs>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Schemat II – Schemat II - Wsparcie funkcjonowania krajowej sieci obszarów wiejskich oraz realizacja działań informacyjno-promocyjnych PROW 2014-2020;</w:t>
      </w:r>
    </w:p>
    <w:p w:rsidR="003B68F1" w:rsidRDefault="00511C98">
      <w:pPr>
        <w:pStyle w:val="Akapitzlist"/>
        <w:numPr>
          <w:ilvl w:val="0"/>
          <w:numId w:val="1"/>
        </w:num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Operacja </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projekt lub grupa projektów wybrane przez instytucję zarządzającą danym programem lub na jej odpowiedzialność, przyczyniające się do realizacji celów pomocy technicznej, określonych w PROW 2014-2020 realizowanych w danym okresie. </w:t>
      </w:r>
    </w:p>
    <w:p w:rsidR="003B68F1" w:rsidRDefault="00511C98">
      <w:pPr>
        <w:spacing w:line="240" w:lineRule="auto"/>
        <w:rPr>
          <w:rFonts w:ascii="Times New Roman" w:hAnsi="Times New Roman" w:cs="Times New Roman"/>
          <w:sz w:val="24"/>
          <w:szCs w:val="24"/>
        </w:rPr>
      </w:pPr>
      <w:r>
        <w:br w:type="page"/>
      </w:r>
    </w:p>
    <w:p w:rsidR="003B68F1" w:rsidRDefault="00511C98">
      <w:pPr>
        <w:pStyle w:val="Nagwek1"/>
        <w:ind w:left="284" w:hanging="284"/>
        <w:rPr>
          <w:rFonts w:ascii="Times New Roman" w:hAnsi="Times New Roman"/>
          <w:color w:val="auto"/>
        </w:rPr>
      </w:pPr>
      <w:bookmarkStart w:id="2" w:name="_Toc10788486"/>
      <w:r>
        <w:rPr>
          <w:rFonts w:ascii="Times New Roman" w:hAnsi="Times New Roman"/>
          <w:color w:val="auto"/>
        </w:rPr>
        <w:lastRenderedPageBreak/>
        <w:t xml:space="preserve">II. Podstawowe warunki </w:t>
      </w:r>
      <w:r>
        <w:rPr>
          <w:rFonts w:ascii="Times New Roman" w:hAnsi="Times New Roman"/>
          <w:color w:val="auto"/>
        </w:rPr>
        <w:t>dotyczące kwalifikowalności kosztów w ramach PT PROW 2014-2020</w:t>
      </w:r>
      <w:bookmarkEnd w:id="2"/>
    </w:p>
    <w:p w:rsidR="003B68F1" w:rsidRDefault="003B68F1"/>
    <w:p w:rsidR="003B68F1" w:rsidRDefault="00511C98">
      <w:pPr>
        <w:pStyle w:val="Akapitzlist"/>
        <w:numPr>
          <w:ilvl w:val="0"/>
          <w:numId w:val="7"/>
        </w:numPr>
        <w:spacing w:before="60" w:after="60"/>
        <w:ind w:left="284" w:hanging="284"/>
        <w:jc w:val="both"/>
        <w:rPr>
          <w:rFonts w:ascii="Times New Roman" w:hAnsi="Times New Roman" w:cs="Times New Roman"/>
          <w:b/>
          <w:sz w:val="24"/>
          <w:szCs w:val="24"/>
        </w:rPr>
      </w:pPr>
      <w:r>
        <w:rPr>
          <w:rFonts w:ascii="Times New Roman" w:eastAsia="Times New Roman" w:hAnsi="Times New Roman" w:cs="Times New Roman"/>
          <w:sz w:val="24"/>
          <w:szCs w:val="24"/>
        </w:rPr>
        <w:t>Początkiem okresu kwalifikowalności wydatków jest 1 stycznia 2014 r. Wydatki poniesione wcześniej nie stanowią wydatku kwalifikowalnego. Końcową datą kwalifikowalności wydatków jest 31 grudnia</w:t>
      </w:r>
      <w:r>
        <w:rPr>
          <w:rFonts w:ascii="Times New Roman" w:eastAsia="Times New Roman" w:hAnsi="Times New Roman" w:cs="Times New Roman"/>
          <w:sz w:val="24"/>
          <w:szCs w:val="24"/>
        </w:rPr>
        <w:t xml:space="preserve"> 2023 r. </w:t>
      </w:r>
      <w:r>
        <w:rPr>
          <w:rFonts w:ascii="Times New Roman" w:hAnsi="Times New Roman" w:cs="Times New Roman"/>
          <w:sz w:val="24"/>
          <w:szCs w:val="24"/>
        </w:rPr>
        <w:t>Przedsięwzięcia mogą dotyczyć bieżącego, a także poprzednich i kolejnych okresów programowania.</w:t>
      </w:r>
    </w:p>
    <w:p w:rsidR="003B68F1" w:rsidRDefault="00511C98">
      <w:pPr>
        <w:pStyle w:val="Akapitzlist"/>
        <w:numPr>
          <w:ilvl w:val="0"/>
          <w:numId w:val="7"/>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Pomoc techniczną przyznaje się w wysokości do 100% kosztów kwalifikowalnych. Wydatek można uznać za kwalifikowalny jeżeli:</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niezbędny dla realizacji projektu; </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jest uzasadniony zakresem operacji;</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racjonalny; </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rzetelnie udokumentowany i możliwy do zweryfikowania; </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spójny z obowiązującymi przepisami; </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ujęty na liście kosztów podlegających refundacji. </w:t>
      </w:r>
    </w:p>
    <w:p w:rsidR="003B68F1" w:rsidRDefault="00511C98">
      <w:pPr>
        <w:pStyle w:val="Akapitzlist"/>
        <w:numPr>
          <w:ilvl w:val="0"/>
          <w:numId w:val="7"/>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w:t>
      </w:r>
      <w:r>
        <w:rPr>
          <w:rFonts w:ascii="Times New Roman" w:hAnsi="Times New Roman" w:cs="Times New Roman"/>
          <w:sz w:val="24"/>
          <w:szCs w:val="24"/>
        </w:rPr>
        <w:t>zt personelu może być uznany za kwalifikowalny, jeżeli pracownik wykonuje zadania kwalifikowalne przez co najmniej 50% swojego czasu pracy w danym miesiącu, przy czym kwota kwalifikowalna określana jest zgodnie z zasadą proporcjonalności. Wysokość finansow</w:t>
      </w:r>
      <w:r>
        <w:rPr>
          <w:rFonts w:ascii="Times New Roman" w:hAnsi="Times New Roman" w:cs="Times New Roman"/>
          <w:sz w:val="24"/>
          <w:szCs w:val="24"/>
        </w:rPr>
        <w:t xml:space="preserve">ania z pomocy technicznej wszystkich kosztów administracyjnych wynikających z realizacji przedmiotowych zadań uzależniona jest  od stopnia zaangażowania pracowników w wykonywanie zadań kwalifikowalnych, od której to zasady są wyjątki. </w:t>
      </w:r>
    </w:p>
    <w:p w:rsidR="003B68F1" w:rsidRDefault="00511C98">
      <w:pPr>
        <w:pStyle w:val="Akapitzlist"/>
        <w:spacing w:before="60" w:after="60"/>
        <w:ind w:left="284"/>
        <w:jc w:val="both"/>
        <w:rPr>
          <w:rFonts w:ascii="Times New Roman" w:hAnsi="Times New Roman" w:cs="Times New Roman"/>
          <w:sz w:val="24"/>
          <w:szCs w:val="24"/>
        </w:rPr>
      </w:pPr>
      <w:r>
        <w:rPr>
          <w:rFonts w:ascii="Times New Roman" w:hAnsi="Times New Roman" w:cs="Times New Roman"/>
          <w:sz w:val="24"/>
          <w:szCs w:val="24"/>
        </w:rPr>
        <w:t>Zasada, zgodnie z kt</w:t>
      </w:r>
      <w:r>
        <w:rPr>
          <w:rFonts w:ascii="Times New Roman" w:hAnsi="Times New Roman" w:cs="Times New Roman"/>
          <w:sz w:val="24"/>
          <w:szCs w:val="24"/>
        </w:rPr>
        <w:t xml:space="preserve">órą wymagane jest minimum 50% zaangażowanie pracownika </w:t>
      </w:r>
      <w:r>
        <w:rPr>
          <w:rFonts w:ascii="Times New Roman" w:hAnsi="Times New Roman" w:cs="Times New Roman"/>
          <w:sz w:val="24"/>
          <w:szCs w:val="24"/>
        </w:rPr>
        <w:br/>
        <w:t xml:space="preserve">w realizację zadań kwalifikowanych nie dotyczy kosztów poniesionych przez podmiot uprawniony przed wejściem w życie rozporządzenia o PT,  tj. przed dniem 5 października 2016 r. Niemniej w okresie tym </w:t>
      </w:r>
      <w:r>
        <w:rPr>
          <w:rFonts w:ascii="Times New Roman" w:hAnsi="Times New Roman" w:cs="Times New Roman"/>
          <w:sz w:val="24"/>
          <w:szCs w:val="24"/>
        </w:rPr>
        <w:t xml:space="preserve">kwota kwalifikowalna określana jest zgodnie z zasadą proporcjonalności, tj. wysokość kosztów kwalifikowalnych określana jest na poziomie równym procentowemu zaangażowaniu pracownika. </w:t>
      </w:r>
    </w:p>
    <w:p w:rsidR="003B68F1" w:rsidRDefault="00511C98">
      <w:pPr>
        <w:pStyle w:val="Akapitzlist"/>
        <w:numPr>
          <w:ilvl w:val="0"/>
          <w:numId w:val="7"/>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Czas pracy przeznaczony na realizację zadań kwalifikowalnych weryfikowan</w:t>
      </w:r>
      <w:r>
        <w:rPr>
          <w:rFonts w:ascii="Times New Roman" w:hAnsi="Times New Roman" w:cs="Times New Roman"/>
          <w:sz w:val="24"/>
          <w:szCs w:val="24"/>
        </w:rPr>
        <w:t xml:space="preserve">y jest na podstawie opisu stanowiska pracy lub równoważnego dokumentu wskazujących określony procentowo udział czasu pracy pracownika w ramach każdego ze schematów pomocy technicznej. </w:t>
      </w:r>
    </w:p>
    <w:p w:rsidR="003B68F1" w:rsidRDefault="00511C98">
      <w:pPr>
        <w:spacing w:before="60" w:after="60"/>
        <w:ind w:left="284"/>
        <w:jc w:val="both"/>
        <w:rPr>
          <w:rFonts w:ascii="Times New Roman" w:hAnsi="Times New Roman" w:cs="Times New Roman"/>
          <w:sz w:val="24"/>
          <w:szCs w:val="24"/>
        </w:rPr>
      </w:pPr>
      <w:r>
        <w:rPr>
          <w:rFonts w:ascii="Times New Roman" w:hAnsi="Times New Roman" w:cs="Times New Roman"/>
          <w:sz w:val="24"/>
          <w:szCs w:val="24"/>
        </w:rPr>
        <w:t xml:space="preserve">Ustalenie udziału czasu pracy przeznaczonego na realizację zadań kwalifikowalnych, </w:t>
      </w:r>
      <w:r>
        <w:rPr>
          <w:rFonts w:ascii="Times New Roman" w:hAnsi="Times New Roman" w:cs="Times New Roman"/>
          <w:sz w:val="24"/>
          <w:szCs w:val="24"/>
        </w:rPr>
        <w:br/>
        <w:t xml:space="preserve">w przypadku kosztów poniesionych przed dniem wejścia w życie rozporządzenia o PT, </w:t>
      </w:r>
      <w:r>
        <w:rPr>
          <w:rFonts w:ascii="Times New Roman" w:hAnsi="Times New Roman" w:cs="Times New Roman"/>
          <w:sz w:val="24"/>
          <w:szCs w:val="24"/>
        </w:rPr>
        <w:br/>
        <w:t xml:space="preserve">tj. przed dniem 5 października 2016 r., dokonuje się na podstawie dokumentu wskazującego </w:t>
      </w:r>
      <w:r>
        <w:rPr>
          <w:rFonts w:ascii="Times New Roman" w:hAnsi="Times New Roman" w:cs="Times New Roman"/>
          <w:sz w:val="24"/>
          <w:szCs w:val="24"/>
        </w:rPr>
        <w:t>realizowane zadania i procentowy udział czasu pracy pracownika podmiotu uprawnionego przeznaczonego na wykonywanie zadań kwalifikowalnych oraz schemat pomocy technicznej, w ramach którego wykonuje te obowiązki, sporządzonego przez podmiot uprawniony na for</w:t>
      </w:r>
      <w:r>
        <w:rPr>
          <w:rFonts w:ascii="Times New Roman" w:hAnsi="Times New Roman" w:cs="Times New Roman"/>
          <w:sz w:val="24"/>
          <w:szCs w:val="24"/>
        </w:rPr>
        <w:t xml:space="preserve">mularzu udostępnionym przez Agencję albo opisu stanowiska pracy lub równoważnego dokumentu sporządzonego przez podmiot uprawniony przed dniem wejścia w życie rozporządzenia o PT, jeżeli zawierają wszystkie wymagane informacje. </w:t>
      </w:r>
    </w:p>
    <w:p w:rsidR="003B68F1" w:rsidRDefault="00511C98">
      <w:pPr>
        <w:pStyle w:val="Akapitzlist"/>
        <w:numPr>
          <w:ilvl w:val="0"/>
          <w:numId w:val="7"/>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Racjonalność wydatków jest p</w:t>
      </w:r>
      <w:r>
        <w:rPr>
          <w:rFonts w:ascii="Times New Roman" w:hAnsi="Times New Roman" w:cs="Times New Roman"/>
          <w:sz w:val="24"/>
          <w:szCs w:val="24"/>
        </w:rPr>
        <w:t>otwierdzona, w przypadku gdy:</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 xml:space="preserve">postępowanie w sprawie wyboru wykonawcy zostało przeprowadzone zgodnie </w:t>
      </w:r>
      <w:r>
        <w:rPr>
          <w:rFonts w:ascii="Times New Roman" w:hAnsi="Times New Roman" w:cs="Times New Roman"/>
          <w:sz w:val="24"/>
          <w:szCs w:val="24"/>
        </w:rPr>
        <w:br/>
        <w:t>z trybem określonym w ustawie PZP –na podstawie prawidłowo przeprowadzonego postępowania o udzielenie zamówienia publicznego;;</w:t>
      </w:r>
    </w:p>
    <w:p w:rsidR="003B68F1" w:rsidRDefault="00511C98">
      <w:pPr>
        <w:pStyle w:val="Akapitzlist"/>
        <w:numPr>
          <w:ilvl w:val="0"/>
          <w:numId w:val="8"/>
        </w:numPr>
        <w:spacing w:before="60" w:after="60"/>
        <w:jc w:val="both"/>
        <w:rPr>
          <w:rFonts w:ascii="Times New Roman" w:hAnsi="Times New Roman" w:cs="Times New Roman"/>
          <w:bCs/>
          <w:sz w:val="24"/>
          <w:szCs w:val="24"/>
          <w:lang w:eastAsia="ar-SA"/>
        </w:rPr>
      </w:pPr>
      <w:r>
        <w:rPr>
          <w:rFonts w:ascii="Times New Roman" w:hAnsi="Times New Roman" w:cs="Times New Roman"/>
          <w:sz w:val="24"/>
          <w:szCs w:val="24"/>
        </w:rPr>
        <w:t>do postępowania w sprawie w</w:t>
      </w:r>
      <w:r>
        <w:rPr>
          <w:rFonts w:ascii="Times New Roman" w:hAnsi="Times New Roman" w:cs="Times New Roman"/>
          <w:sz w:val="24"/>
          <w:szCs w:val="24"/>
        </w:rPr>
        <w:t xml:space="preserve">yboru wykonawcy nie mają zastosowania przepisy, o których mowa w </w:t>
      </w:r>
      <w:proofErr w:type="spellStart"/>
      <w:r>
        <w:rPr>
          <w:rFonts w:ascii="Times New Roman" w:hAnsi="Times New Roman" w:cs="Times New Roman"/>
          <w:sz w:val="24"/>
          <w:szCs w:val="24"/>
        </w:rPr>
        <w:t>tiret</w:t>
      </w:r>
      <w:proofErr w:type="spellEnd"/>
      <w:r>
        <w:rPr>
          <w:rFonts w:ascii="Times New Roman" w:hAnsi="Times New Roman" w:cs="Times New Roman"/>
          <w:sz w:val="24"/>
          <w:szCs w:val="24"/>
        </w:rPr>
        <w:t xml:space="preserve"> jeden – na podstawie prawidłowo przeprowadzonego rozeznania rynku dokonanego przez podmiot uprawniony / beneficjenta / partnera KSOW.</w:t>
      </w:r>
    </w:p>
    <w:p w:rsidR="003B68F1" w:rsidRDefault="003B68F1">
      <w:pPr>
        <w:pStyle w:val="Akapitzlist"/>
        <w:spacing w:before="60" w:after="60"/>
        <w:ind w:left="1068"/>
        <w:jc w:val="both"/>
        <w:rPr>
          <w:rFonts w:ascii="Times New Roman" w:hAnsi="Times New Roman" w:cs="Times New Roman"/>
          <w:bCs/>
          <w:sz w:val="24"/>
          <w:szCs w:val="24"/>
          <w:lang w:eastAsia="ar-SA"/>
        </w:rPr>
      </w:pPr>
    </w:p>
    <w:p w:rsidR="003B68F1" w:rsidRDefault="00511C98">
      <w:pPr>
        <w:pStyle w:val="Nagwek1"/>
        <w:spacing w:before="60" w:after="60" w:line="276" w:lineRule="auto"/>
        <w:jc w:val="both"/>
        <w:rPr>
          <w:rFonts w:ascii="Times New Roman" w:hAnsi="Times New Roman"/>
          <w:color w:val="auto"/>
        </w:rPr>
      </w:pPr>
      <w:bookmarkStart w:id="3" w:name="_Toc10788487"/>
      <w:r>
        <w:rPr>
          <w:rFonts w:ascii="Times New Roman" w:hAnsi="Times New Roman"/>
          <w:color w:val="auto"/>
        </w:rPr>
        <w:t>III. Typy działań możliwych do sfinansowania z pom</w:t>
      </w:r>
      <w:r>
        <w:rPr>
          <w:rFonts w:ascii="Times New Roman" w:hAnsi="Times New Roman"/>
          <w:color w:val="auto"/>
        </w:rPr>
        <w:t>ocy technicznej</w:t>
      </w:r>
      <w:bookmarkEnd w:id="3"/>
    </w:p>
    <w:p w:rsidR="003B68F1" w:rsidRDefault="003B68F1"/>
    <w:p w:rsidR="003B68F1" w:rsidRDefault="00511C98">
      <w:pPr>
        <w:pStyle w:val="Akapitzlist"/>
        <w:numPr>
          <w:ilvl w:val="0"/>
          <w:numId w:val="6"/>
        </w:numPr>
        <w:spacing w:before="60" w:after="60"/>
        <w:ind w:left="426"/>
        <w:jc w:val="both"/>
        <w:rPr>
          <w:rFonts w:ascii="Times New Roman" w:hAnsi="Times New Roman" w:cs="Times New Roman"/>
          <w:b/>
          <w:sz w:val="24"/>
          <w:szCs w:val="24"/>
        </w:rPr>
      </w:pPr>
      <w:r>
        <w:rPr>
          <w:rFonts w:ascii="Times New Roman" w:hAnsi="Times New Roman" w:cs="Times New Roman"/>
          <w:b/>
          <w:sz w:val="24"/>
          <w:szCs w:val="24"/>
        </w:rPr>
        <w:t>Ze środków pomocy technicznej mogą być finansowane przedsięwzięcia z zakresu:</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zapewnienia odpowiedniego wsparcia dla instytucji odpowiedzialnych </w:t>
      </w:r>
      <w:r>
        <w:rPr>
          <w:rFonts w:ascii="Times New Roman" w:hAnsi="Times New Roman" w:cs="Times New Roman"/>
          <w:sz w:val="24"/>
          <w:szCs w:val="24"/>
        </w:rPr>
        <w:br/>
        <w:t>za przygotowanie, zarządzanie, monitorowanie, ocenę, informację i komunikację, tworzenie siec</w:t>
      </w:r>
      <w:r>
        <w:rPr>
          <w:rFonts w:ascii="Times New Roman" w:hAnsi="Times New Roman" w:cs="Times New Roman"/>
          <w:sz w:val="24"/>
          <w:szCs w:val="24"/>
        </w:rPr>
        <w:t>i, rozpatrywanie skarg oraz kontrolę i audyt;</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zapewnienia realizacji zadań objętych zakresem Krajowej Sieci Obszarów Wiejskich (KSOW), w tym Sieci na rzecz innowacji w rolnictwie i na obszarach wiejskich (SIR), wdrożenie sprawnego i efektywnego systemu inf</w:t>
      </w:r>
      <w:r>
        <w:rPr>
          <w:rFonts w:ascii="Times New Roman" w:hAnsi="Times New Roman" w:cs="Times New Roman"/>
          <w:sz w:val="24"/>
          <w:szCs w:val="24"/>
        </w:rPr>
        <w:t xml:space="preserve">ormacji </w:t>
      </w:r>
      <w:r>
        <w:rPr>
          <w:rFonts w:ascii="Times New Roman" w:hAnsi="Times New Roman" w:cs="Times New Roman"/>
          <w:sz w:val="24"/>
          <w:szCs w:val="24"/>
        </w:rPr>
        <w:br/>
        <w:t>i promocji PROW 2014-2020 oraz zapewnienie wspierania działań mających na celu wzmocnienie potencjału odpowiednich partnerów, zgodnie z art. 5 ust. 3 lit. e rozporządzenia ramowego, w celu wspierania wymiany najlepszych praktyk pomiędzy takimi par</w:t>
      </w:r>
      <w:r>
        <w:rPr>
          <w:rFonts w:ascii="Times New Roman" w:hAnsi="Times New Roman" w:cs="Times New Roman"/>
          <w:sz w:val="24"/>
          <w:szCs w:val="24"/>
        </w:rPr>
        <w:t>tnerami;</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zapewnienia zmniejszenia obciążenia administracyjnego dla beneficjentów, w tym działań takich jak systemy elektronicznej wymiany danych oraz wzmocnienie potencjału organów państwa członkowskiego i beneficjentów w zakresie zarządzania i wykorzystan</w:t>
      </w:r>
      <w:r>
        <w:rPr>
          <w:rFonts w:ascii="Times New Roman" w:hAnsi="Times New Roman" w:cs="Times New Roman"/>
          <w:sz w:val="24"/>
          <w:szCs w:val="24"/>
        </w:rPr>
        <w:t>ia funduszy;</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zapewnienia finansowania kosztów związanych z pracami przygotowawczymi na potrzeby wytyczenia obszarów z ograniczeniami naturalnymi;</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zapewnienia finansowania działań dotyczących poprzedzającego oraz kolejnego okresu programowania (w tym przygo</w:t>
      </w:r>
      <w:r>
        <w:rPr>
          <w:rFonts w:ascii="Times New Roman" w:hAnsi="Times New Roman" w:cs="Times New Roman"/>
          <w:sz w:val="24"/>
          <w:szCs w:val="24"/>
        </w:rPr>
        <w:t>towania planu strategicznego wspólnej polityki rolnej).</w:t>
      </w:r>
    </w:p>
    <w:p w:rsidR="003B68F1" w:rsidRDefault="00511C98">
      <w:pPr>
        <w:pStyle w:val="Akapitzlist"/>
        <w:numPr>
          <w:ilvl w:val="0"/>
          <w:numId w:val="6"/>
        </w:numPr>
        <w:spacing w:before="60" w:after="60"/>
        <w:ind w:left="284"/>
        <w:jc w:val="both"/>
        <w:rPr>
          <w:rFonts w:ascii="Times New Roman" w:hAnsi="Times New Roman" w:cs="Times New Roman"/>
          <w:b/>
          <w:sz w:val="24"/>
          <w:szCs w:val="24"/>
        </w:rPr>
      </w:pPr>
      <w:r>
        <w:rPr>
          <w:rFonts w:ascii="Times New Roman" w:hAnsi="Times New Roman" w:cs="Times New Roman"/>
          <w:b/>
          <w:sz w:val="24"/>
          <w:szCs w:val="24"/>
        </w:rPr>
        <w:t xml:space="preserve">W ramach Schematu I mogą być finansowane w szczególności przedsięwzięcia </w:t>
      </w:r>
      <w:r>
        <w:rPr>
          <w:rFonts w:ascii="Times New Roman" w:hAnsi="Times New Roman" w:cs="Times New Roman"/>
          <w:b/>
          <w:sz w:val="24"/>
          <w:szCs w:val="24"/>
        </w:rPr>
        <w:br/>
        <w:t>z zakresu:</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wsparcia zatrudnienia pracowników instytucji zaangażowanych w realizację PROW 2014-2020;</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podnoszenia kwalifikacji p</w:t>
      </w:r>
      <w:r>
        <w:rPr>
          <w:rFonts w:ascii="Times New Roman" w:hAnsi="Times New Roman" w:cs="Times New Roman"/>
          <w:sz w:val="24"/>
          <w:szCs w:val="24"/>
        </w:rPr>
        <w:t>racowników instytucji zaangażowanych w realizację PROW 2014-2020;</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finansowania kosztów organizacyjnych, technicznych i administracyjnych, niezbędnych do zapewnienia sprawnego funkcjonowania instytucji zaangażowanych we wdrażanie PROW 2014-2020;</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budowy, </w:t>
      </w:r>
      <w:r>
        <w:rPr>
          <w:rFonts w:ascii="Times New Roman" w:hAnsi="Times New Roman" w:cs="Times New Roman"/>
          <w:sz w:val="24"/>
          <w:szCs w:val="24"/>
        </w:rPr>
        <w:t>wdrożenia i utrzymania systemów informatycznych (wraz z niezbędną infrastrukturą teleinformatyczną) obsługujących i wspierających realizację PROW 2014-2020;</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organizacji posiedzeń KM i jego grup roboczych;</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wsparcia procesów wyboru operacji, monitorowania, k</w:t>
      </w:r>
      <w:r>
        <w:rPr>
          <w:rFonts w:ascii="Times New Roman" w:hAnsi="Times New Roman" w:cs="Times New Roman"/>
          <w:sz w:val="24"/>
          <w:szCs w:val="24"/>
        </w:rPr>
        <w:t>ontroli, audytu, odzyskiwania środków, procedur odwoławczych;</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przygotowania i przeprowadzenie analiz, badań, ewaluacji, sprawozdań, opinii prawnych, doradztwa prawnego oraz finansowanie usług/wsparcia ze strony ekspertów zewnętrznych;</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zamykania perspektywy</w:t>
      </w:r>
      <w:r>
        <w:rPr>
          <w:rFonts w:ascii="Times New Roman" w:hAnsi="Times New Roman" w:cs="Times New Roman"/>
          <w:sz w:val="24"/>
          <w:szCs w:val="24"/>
        </w:rPr>
        <w:t xml:space="preserve"> 2007-2013;</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przygotowania perspektywy finansowej po 2020 roku (w tym przygotowania planu strategicznego wspólnej polityki rolnej).</w:t>
      </w:r>
    </w:p>
    <w:p w:rsidR="003B68F1" w:rsidRDefault="00511C98">
      <w:pPr>
        <w:spacing w:before="60" w:after="60"/>
        <w:ind w:left="284"/>
        <w:jc w:val="both"/>
        <w:rPr>
          <w:rFonts w:ascii="Times New Roman" w:hAnsi="Times New Roman" w:cs="Times New Roman"/>
          <w:sz w:val="24"/>
          <w:szCs w:val="24"/>
        </w:rPr>
      </w:pPr>
      <w:r>
        <w:rPr>
          <w:rFonts w:ascii="Times New Roman" w:hAnsi="Times New Roman" w:cs="Times New Roman"/>
          <w:sz w:val="24"/>
          <w:szCs w:val="24"/>
        </w:rPr>
        <w:t xml:space="preserve">Szczegółowa lista kosztów oraz ich opis przedstawione zostały w rozdziale IV. </w:t>
      </w:r>
    </w:p>
    <w:p w:rsidR="003B68F1" w:rsidRDefault="00511C98">
      <w:pPr>
        <w:pStyle w:val="Akapitzlist"/>
        <w:numPr>
          <w:ilvl w:val="0"/>
          <w:numId w:val="6"/>
        </w:numPr>
        <w:spacing w:before="60" w:after="60"/>
        <w:ind w:left="284"/>
        <w:jc w:val="both"/>
        <w:rPr>
          <w:rFonts w:ascii="Times New Roman" w:hAnsi="Times New Roman" w:cs="Times New Roman"/>
          <w:b/>
          <w:sz w:val="24"/>
          <w:szCs w:val="24"/>
        </w:rPr>
      </w:pPr>
      <w:r>
        <w:rPr>
          <w:rFonts w:ascii="Times New Roman" w:hAnsi="Times New Roman" w:cs="Times New Roman"/>
          <w:b/>
          <w:sz w:val="24"/>
          <w:szCs w:val="24"/>
        </w:rPr>
        <w:t xml:space="preserve">W ramach Schematu II mogą być finansowane w szczególności przedsięwzięcia </w:t>
      </w:r>
      <w:r>
        <w:rPr>
          <w:rFonts w:ascii="Times New Roman" w:hAnsi="Times New Roman" w:cs="Times New Roman"/>
          <w:b/>
          <w:sz w:val="24"/>
          <w:szCs w:val="24"/>
        </w:rPr>
        <w:br/>
        <w:t>z zakresu:</w:t>
      </w:r>
    </w:p>
    <w:p w:rsidR="003B68F1" w:rsidRDefault="00511C98">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wsparcia funkcjonowania KSOW:</w:t>
      </w:r>
    </w:p>
    <w:p w:rsidR="003B68F1" w:rsidRDefault="00511C98">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wsparcie zatrudnienia pracowników instytucji zaangażowanych w realizację KSOW w ramach PROW 2014-2020;</w:t>
      </w:r>
    </w:p>
    <w:p w:rsidR="003B68F1" w:rsidRDefault="00511C98">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 xml:space="preserve">podnoszenie kwalifikacji pracowników </w:t>
      </w:r>
      <w:r>
        <w:rPr>
          <w:rFonts w:ascii="Times New Roman" w:hAnsi="Times New Roman" w:cs="Times New Roman"/>
          <w:sz w:val="24"/>
          <w:szCs w:val="24"/>
        </w:rPr>
        <w:t xml:space="preserve">instytucji zaangażowanych </w:t>
      </w:r>
      <w:r>
        <w:rPr>
          <w:rFonts w:ascii="Times New Roman" w:hAnsi="Times New Roman" w:cs="Times New Roman"/>
          <w:sz w:val="24"/>
          <w:szCs w:val="24"/>
        </w:rPr>
        <w:br/>
        <w:t>w realizację KSOW w ramach PROW 2014-2020;</w:t>
      </w:r>
    </w:p>
    <w:p w:rsidR="003B68F1" w:rsidRDefault="00511C98">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finansowanie kosztów organizacyjnych, technicznych i administracyjnych, niezbędnych do zapewnienia sprawnego funkcjonowania instytucji zaangażowanych we wdrażanie KSOW w ramach PROW 2014</w:t>
      </w:r>
      <w:r>
        <w:rPr>
          <w:rFonts w:ascii="Times New Roman" w:hAnsi="Times New Roman" w:cs="Times New Roman"/>
          <w:sz w:val="24"/>
          <w:szCs w:val="24"/>
        </w:rPr>
        <w:t>-2020;</w:t>
      </w:r>
    </w:p>
    <w:p w:rsidR="003B68F1" w:rsidRDefault="00511C98">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 xml:space="preserve">budowa, wdrożenie i utrzymanie systemów informatycznych (wraz </w:t>
      </w:r>
      <w:r>
        <w:rPr>
          <w:rFonts w:ascii="Times New Roman" w:hAnsi="Times New Roman" w:cs="Times New Roman"/>
          <w:sz w:val="24"/>
          <w:szCs w:val="24"/>
        </w:rPr>
        <w:br/>
        <w:t>z niezbędną infrastrukturą teleinformatyczną) obsługujących i wspierających realizację KSOW w ramach PROW 2014-2020;</w:t>
      </w:r>
    </w:p>
    <w:p w:rsidR="003B68F1" w:rsidRDefault="00511C98">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organizacja posiedzeń Grupy Roboczej ds. KSOW i grup tematycznych;</w:t>
      </w:r>
    </w:p>
    <w:p w:rsidR="003B68F1" w:rsidRDefault="00511C98">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parcie procesów wyboru operacji, monitorowania, kontroli, audytu, odzyskiwania środków, procedur odwoławczych;</w:t>
      </w:r>
    </w:p>
    <w:p w:rsidR="003B68F1" w:rsidRDefault="00511C98">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przygotowanie i przeprowadzenie analiz, badań, ewaluacji, sprawozdań, opinii prawnych, doradztwa prawnego oraz finansowanie usług/wsparcia ze str</w:t>
      </w:r>
      <w:r>
        <w:rPr>
          <w:rFonts w:ascii="Times New Roman" w:hAnsi="Times New Roman" w:cs="Times New Roman"/>
          <w:sz w:val="24"/>
          <w:szCs w:val="24"/>
        </w:rPr>
        <w:t>ony ekspertów zewnętrznych;</w:t>
      </w:r>
    </w:p>
    <w:p w:rsidR="003B68F1" w:rsidRDefault="00511C98">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zamykanie perspektywy 2007-2013;</w:t>
      </w:r>
    </w:p>
    <w:p w:rsidR="003B68F1" w:rsidRDefault="00511C98">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przygotowanie perspektywy finansowej po 2020 roku</w:t>
      </w:r>
      <w:r>
        <w:t xml:space="preserve"> (</w:t>
      </w:r>
      <w:r>
        <w:rPr>
          <w:rFonts w:ascii="Times New Roman" w:hAnsi="Times New Roman" w:cs="Times New Roman"/>
          <w:sz w:val="24"/>
          <w:szCs w:val="24"/>
        </w:rPr>
        <w:t>w tym przygotowania planu strategicznego wspólnej polityki rolnej);</w:t>
      </w:r>
    </w:p>
    <w:p w:rsidR="003B68F1" w:rsidRDefault="00511C98">
      <w:pPr>
        <w:pStyle w:val="Akapitzlist"/>
        <w:numPr>
          <w:ilvl w:val="0"/>
          <w:numId w:val="8"/>
        </w:numPr>
        <w:spacing w:before="60" w:after="60"/>
        <w:ind w:left="696"/>
        <w:jc w:val="both"/>
        <w:rPr>
          <w:rFonts w:ascii="Times New Roman" w:hAnsi="Times New Roman" w:cs="Times New Roman"/>
          <w:sz w:val="24"/>
          <w:szCs w:val="24"/>
        </w:rPr>
      </w:pPr>
      <w:r>
        <w:rPr>
          <w:rFonts w:ascii="Times New Roman" w:hAnsi="Times New Roman" w:cs="Times New Roman"/>
          <w:sz w:val="24"/>
          <w:szCs w:val="24"/>
        </w:rPr>
        <w:t>realizacji Planu działania KSOW na lata 2014-2020 w ramach dwuletnich planów</w:t>
      </w:r>
      <w:r>
        <w:rPr>
          <w:rFonts w:ascii="Times New Roman" w:hAnsi="Times New Roman" w:cs="Times New Roman"/>
          <w:sz w:val="24"/>
          <w:szCs w:val="24"/>
        </w:rPr>
        <w:t xml:space="preserve"> operacyjnych obejmujące:</w:t>
      </w:r>
    </w:p>
    <w:p w:rsidR="003B68F1" w:rsidRDefault="00511C98">
      <w:pPr>
        <w:pStyle w:val="Akapitzlist"/>
        <w:numPr>
          <w:ilvl w:val="0"/>
          <w:numId w:val="10"/>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koszty dostaw i usług, w tym wynagrodzenia bezosobowe;</w:t>
      </w:r>
    </w:p>
    <w:p w:rsidR="003B68F1" w:rsidRDefault="00511C98">
      <w:pPr>
        <w:pStyle w:val="Akapitzlist"/>
        <w:numPr>
          <w:ilvl w:val="0"/>
          <w:numId w:val="10"/>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 xml:space="preserve">koszty podróży służbowych pracowników podmiotu uprawnionego oraz przejazdów, dojazdów środkami komunikacji miejscowej i noclegów poniesionych przez inne osoby w związku z </w:t>
      </w:r>
      <w:r>
        <w:rPr>
          <w:rFonts w:ascii="Times New Roman" w:hAnsi="Times New Roman" w:cs="Times New Roman"/>
          <w:sz w:val="24"/>
          <w:szCs w:val="24"/>
        </w:rPr>
        <w:t>realizacją operacji;</w:t>
      </w:r>
    </w:p>
    <w:p w:rsidR="003B68F1" w:rsidRDefault="00511C98">
      <w:pPr>
        <w:pStyle w:val="Akapitzlist"/>
        <w:numPr>
          <w:ilvl w:val="0"/>
          <w:numId w:val="10"/>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koszty nagród finansowych dla laureatów konkursów.</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Szczegółowa lista kosztów oraz ich opis przedstawione zostały w rozdziale IV i V.</w:t>
      </w:r>
    </w:p>
    <w:p w:rsidR="003B68F1" w:rsidRDefault="00511C98">
      <w:pPr>
        <w:pStyle w:val="Nagwek1"/>
        <w:spacing w:before="60" w:after="60" w:line="276" w:lineRule="auto"/>
        <w:jc w:val="both"/>
        <w:rPr>
          <w:rFonts w:ascii="Times New Roman" w:hAnsi="Times New Roman"/>
          <w:color w:val="auto"/>
        </w:rPr>
      </w:pPr>
      <w:bookmarkStart w:id="4" w:name="_Toc10788488"/>
      <w:r>
        <w:rPr>
          <w:rFonts w:ascii="Times New Roman" w:hAnsi="Times New Roman"/>
          <w:color w:val="auto"/>
        </w:rPr>
        <w:lastRenderedPageBreak/>
        <w:t xml:space="preserve">IV. Koszty podlegające refundacji w ramach schematu I </w:t>
      </w:r>
      <w:r>
        <w:rPr>
          <w:rFonts w:ascii="Times New Roman" w:hAnsi="Times New Roman"/>
          <w:color w:val="auto"/>
        </w:rPr>
        <w:br/>
        <w:t>oraz schematu  II (w zakresie wsparcia funkcjon</w:t>
      </w:r>
      <w:r>
        <w:rPr>
          <w:rFonts w:ascii="Times New Roman" w:hAnsi="Times New Roman"/>
          <w:color w:val="auto"/>
        </w:rPr>
        <w:t>owania krajowej sieci obszarów wiejskich)</w:t>
      </w:r>
      <w:bookmarkEnd w:id="4"/>
    </w:p>
    <w:p w:rsidR="003B68F1" w:rsidRDefault="003B68F1"/>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kwalifikowalne podlegające refundacji zostały określone w § 3 rozporządzenia o PT. Zgodnie z ww. rozporządzeniem do kosztów kwalifikowalnych w ramach schematu I oraz w zakresie wsparcia funkcjonowania KSOW </w:t>
      </w:r>
      <w:r>
        <w:rPr>
          <w:rFonts w:ascii="Times New Roman" w:hAnsi="Times New Roman" w:cs="Times New Roman"/>
          <w:sz w:val="24"/>
          <w:szCs w:val="24"/>
        </w:rPr>
        <w:t>w ramach schematu II zalicza się:</w:t>
      </w:r>
    </w:p>
    <w:p w:rsidR="003B68F1" w:rsidRDefault="00511C98">
      <w:pPr>
        <w:pStyle w:val="Akapitzlist"/>
        <w:numPr>
          <w:ilvl w:val="0"/>
          <w:numId w:val="28"/>
        </w:numPr>
        <w:spacing w:before="60" w:after="60"/>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Wynagrodzenia pracowników podmiotu uprawnionego oraz inne świadczenia pieniężne przyznawane pracownikom podmiotu uprawionego w związku </w:t>
      </w:r>
      <w:r>
        <w:rPr>
          <w:rFonts w:ascii="Times New Roman" w:hAnsi="Times New Roman" w:cs="Times New Roman"/>
          <w:b/>
          <w:sz w:val="24"/>
          <w:szCs w:val="24"/>
        </w:rPr>
        <w:br/>
        <w:t>z wykonywaną pracą wraz ze składkami na ubezpieczenia społeczne, płaconymi przez prac</w:t>
      </w:r>
      <w:r>
        <w:rPr>
          <w:rFonts w:ascii="Times New Roman" w:hAnsi="Times New Roman" w:cs="Times New Roman"/>
          <w:b/>
          <w:sz w:val="24"/>
          <w:szCs w:val="24"/>
        </w:rPr>
        <w:t>odawcę, oraz składkami na Fundusz Pracy i Fundusz Gwarantowanych Świadczeń Pracowniczych.</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Koszty mogą być uznane za kwalifikowalne, jeżeli pracownik wykonywał zadania kwalifikowalne przez co najmniej 50% swojego czasu pracy w danym miesiącu, przy czym kwot</w:t>
      </w:r>
      <w:r>
        <w:rPr>
          <w:rFonts w:ascii="Times New Roman" w:hAnsi="Times New Roman" w:cs="Times New Roman"/>
          <w:sz w:val="24"/>
          <w:szCs w:val="24"/>
        </w:rPr>
        <w:t xml:space="preserve">a kwalifikowalna określana jest zgodnie z zasadą proporcjonalności.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Wymóg dotyczący minimum 50% zaangażowania pracownika w realizację zadań kwalifikowanych nie dotyczy kosztów poniesionych przez podmiot uprawniony przed wejściem w życie rozporządzenia o P</w:t>
      </w:r>
      <w:r>
        <w:rPr>
          <w:rFonts w:ascii="Times New Roman" w:hAnsi="Times New Roman" w:cs="Times New Roman"/>
          <w:sz w:val="24"/>
          <w:szCs w:val="24"/>
        </w:rPr>
        <w:t xml:space="preserve">T, tj. przed dniem 5 października 2016 r. Niemniej </w:t>
      </w:r>
      <w:r>
        <w:rPr>
          <w:rFonts w:ascii="Times New Roman" w:hAnsi="Times New Roman" w:cs="Times New Roman"/>
          <w:sz w:val="24"/>
          <w:szCs w:val="24"/>
        </w:rPr>
        <w:br/>
        <w:t>w okresie tym kwota kwalifikowalna określana jest zgodnie z zasadą proporcjonalności.</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Odstępstwa od zasady proporcjonalności mogą nastąpić w przypadku nagród/premii/dodatków zadaniowych przyznanych wyłącz</w:t>
      </w:r>
      <w:r>
        <w:rPr>
          <w:rFonts w:ascii="Times New Roman" w:hAnsi="Times New Roman" w:cs="Times New Roman"/>
          <w:sz w:val="24"/>
          <w:szCs w:val="24"/>
        </w:rPr>
        <w:t>nie za pracę związaną z realizacją zadań kwalifikowalnych, które mogą być finansowane w 100% ze środków pomocy technicznej pod warunkiem, że podmiot uprawniony przedstawi szczegółowe uzasadnienie powodów przyznania nagrody/premii/dodatku zadaniowego oraz i</w:t>
      </w:r>
      <w:r>
        <w:rPr>
          <w:rFonts w:ascii="Times New Roman" w:hAnsi="Times New Roman" w:cs="Times New Roman"/>
          <w:sz w:val="24"/>
          <w:szCs w:val="24"/>
        </w:rPr>
        <w:t>ch wysokości.</w:t>
      </w:r>
    </w:p>
    <w:p w:rsidR="003B68F1" w:rsidRDefault="00511C98">
      <w:pPr>
        <w:pStyle w:val="NormalnyWeb"/>
        <w:spacing w:before="58" w:beforeAutospacing="0" w:after="0" w:afterAutospacing="0" w:line="276" w:lineRule="auto"/>
        <w:jc w:val="both"/>
        <w:textAlignment w:val="baseline"/>
        <w:rPr>
          <w:rFonts w:eastAsiaTheme="minorEastAsia"/>
          <w:bCs/>
        </w:rPr>
      </w:pPr>
      <w:r>
        <w:rPr>
          <w:bCs/>
          <w:lang w:eastAsia="en-US"/>
        </w:rPr>
        <w:t xml:space="preserve">Uzasadnienie powodów przyznania nagrody/premii/dodatku </w:t>
      </w:r>
      <w:r>
        <w:rPr>
          <w:bCs/>
          <w:u w:val="single"/>
          <w:lang w:eastAsia="en-US"/>
        </w:rPr>
        <w:t>należy przygotować indywidualnie dla każdego pracownika</w:t>
      </w:r>
      <w:r>
        <w:rPr>
          <w:bCs/>
          <w:lang w:eastAsia="en-US"/>
        </w:rPr>
        <w:t xml:space="preserve"> (zarówno pod względem treści, jak i wysokości). </w:t>
      </w:r>
      <w:r>
        <w:rPr>
          <w:bCs/>
          <w:lang w:eastAsia="en-US"/>
        </w:rPr>
        <w:br/>
        <w:t>W ww. uzasadnieniu należy wziąć pod uwagę różne aspekty mające wpływ na wysokość p</w:t>
      </w:r>
      <w:r>
        <w:rPr>
          <w:bCs/>
          <w:lang w:eastAsia="en-US"/>
        </w:rPr>
        <w:t xml:space="preserve">rzyznanego świadczenia. Świadczenia te powinny wynikać i być zgodne z wewnętrznymi regulaminami wynagradzania pracowników podmiotu uprawnionego. </w:t>
      </w:r>
      <w:r>
        <w:rPr>
          <w:rFonts w:eastAsiaTheme="minorEastAsia"/>
          <w:bCs/>
        </w:rPr>
        <w:t xml:space="preserve">W zależności od struktury instytucji czy też innych przyczyn, powyższy dokument można przekazać jako oddzielny </w:t>
      </w:r>
      <w:r>
        <w:rPr>
          <w:rFonts w:eastAsiaTheme="minorEastAsia"/>
          <w:bCs/>
        </w:rPr>
        <w:t xml:space="preserve">dla poszczególnego pracownika lub jako </w:t>
      </w:r>
      <w:r>
        <w:rPr>
          <w:rFonts w:eastAsiaTheme="minorEastAsia"/>
          <w:bCs/>
          <w:u w:val="single"/>
        </w:rPr>
        <w:t xml:space="preserve">wykaz/zbiór wszystkich uzasadnień (np. tabela), </w:t>
      </w:r>
      <w:r>
        <w:rPr>
          <w:rFonts w:eastAsiaTheme="minorEastAsia"/>
          <w:bCs/>
        </w:rPr>
        <w:t xml:space="preserve">lub też w kilku egzemplarzach jako wykaz pracowników danej komórki organizacyjnej, którym przyznano ww. świadczenia pieniężne podlegające refundacji. </w:t>
      </w:r>
    </w:p>
    <w:p w:rsidR="003B68F1" w:rsidRDefault="00511C98">
      <w:pPr>
        <w:pStyle w:val="Tekstkomentarza"/>
        <w:spacing w:line="276" w:lineRule="auto"/>
        <w:jc w:val="both"/>
        <w:rPr>
          <w:rFonts w:ascii="Times New Roman" w:hAnsi="Times New Roman" w:cs="Times New Roman"/>
          <w:sz w:val="24"/>
          <w:szCs w:val="24"/>
        </w:rPr>
      </w:pPr>
      <w:r>
        <w:rPr>
          <w:rFonts w:ascii="Times New Roman" w:hAnsi="Times New Roman" w:cs="Times New Roman"/>
          <w:sz w:val="24"/>
          <w:szCs w:val="24"/>
        </w:rPr>
        <w:t>W przypadku podróż</w:t>
      </w:r>
      <w:r>
        <w:rPr>
          <w:rFonts w:ascii="Times New Roman" w:hAnsi="Times New Roman" w:cs="Times New Roman"/>
          <w:sz w:val="24"/>
          <w:szCs w:val="24"/>
        </w:rPr>
        <w:t xml:space="preserve">y służbowej pracownika podmiotu uprawionego w związku z jego udziałem w delegacji służbowej krajowej lub zagranicznej, koszty są kwalifikowalne </w:t>
      </w:r>
      <w:r>
        <w:rPr>
          <w:rFonts w:ascii="Times New Roman" w:hAnsi="Times New Roman" w:cs="Times New Roman"/>
          <w:sz w:val="24"/>
          <w:szCs w:val="24"/>
        </w:rPr>
        <w:br/>
        <w:t>w części, w jakiej dotyczą realizacji zadań kwalifikowalnych, bez obowiązku spełniania przez pracownika podmiot</w:t>
      </w:r>
      <w:r>
        <w:rPr>
          <w:rFonts w:ascii="Times New Roman" w:hAnsi="Times New Roman" w:cs="Times New Roman"/>
          <w:sz w:val="24"/>
          <w:szCs w:val="24"/>
        </w:rPr>
        <w:t xml:space="preserve">u uprawnionego warunku dot. procentowego zaangażowania czasu pracy w realizację zadań kwalifikowalnych w danym miesiącu na poziomie co najmniej 50%. Brak wymogu dotyczącego minimum 50% zaangażowania w zadania kwalifikowalne, w przypadku podróży służbowych </w:t>
      </w:r>
      <w:r>
        <w:rPr>
          <w:rFonts w:ascii="Times New Roman" w:hAnsi="Times New Roman" w:cs="Times New Roman"/>
          <w:sz w:val="24"/>
          <w:szCs w:val="24"/>
        </w:rPr>
        <w:t xml:space="preserve">pracowników podmiotu uprawionego, obowiązuje od 3 stycznia 2019 r. Koszty podróży służbowych poniesione przed 3 styczna </w:t>
      </w:r>
      <w:r>
        <w:rPr>
          <w:rFonts w:ascii="Times New Roman" w:hAnsi="Times New Roman" w:cs="Times New Roman"/>
          <w:sz w:val="24"/>
          <w:szCs w:val="24"/>
        </w:rPr>
        <w:lastRenderedPageBreak/>
        <w:t>2019 r. są kwalifikowalne na warunkach określonych w § 3 ust. 5 i 6 rozporządzenia PT, czyli zaangażowanie w realizację zadań kwalifikow</w:t>
      </w:r>
      <w:r>
        <w:rPr>
          <w:rFonts w:ascii="Times New Roman" w:hAnsi="Times New Roman" w:cs="Times New Roman"/>
          <w:sz w:val="24"/>
          <w:szCs w:val="24"/>
        </w:rPr>
        <w:t>alnych w danym miesiącu na poziomie co najmniej 50% swojego czasu pracy w danym miesiącu oraz zgodnie z zasadą proporcjonalności.</w:t>
      </w:r>
    </w:p>
    <w:p w:rsidR="003B68F1" w:rsidRDefault="00511C98">
      <w:pPr>
        <w:pStyle w:val="Akapitzlist"/>
        <w:spacing w:before="60" w:after="60"/>
        <w:ind w:left="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Katalog kosztów kwalifikowanych obejmuje w szczególności:</w:t>
      </w:r>
      <w:r>
        <w:rPr>
          <w:rFonts w:ascii="Times New Roman" w:hAnsi="Times New Roman" w:cs="Times New Roman"/>
          <w:sz w:val="24"/>
          <w:szCs w:val="24"/>
        </w:rPr>
        <w:t xml:space="preserve"> </w:t>
      </w:r>
    </w:p>
    <w:p w:rsidR="003B68F1" w:rsidRDefault="00511C98">
      <w:pPr>
        <w:pStyle w:val="Akapitzlist"/>
        <w:numPr>
          <w:ilvl w:val="0"/>
          <w:numId w:val="13"/>
        </w:numPr>
        <w:spacing w:before="60" w:after="60"/>
        <w:ind w:hanging="359"/>
        <w:jc w:val="both"/>
        <w:rPr>
          <w:rFonts w:ascii="Times New Roman" w:hAnsi="Times New Roman" w:cs="Times New Roman"/>
          <w:sz w:val="24"/>
          <w:szCs w:val="24"/>
        </w:rPr>
      </w:pPr>
      <w:r>
        <w:rPr>
          <w:rFonts w:ascii="Times New Roman" w:hAnsi="Times New Roman" w:cs="Times New Roman"/>
          <w:sz w:val="24"/>
          <w:szCs w:val="24"/>
        </w:rPr>
        <w:t>wynagrodzenie zasadnicze;</w:t>
      </w:r>
    </w:p>
    <w:p w:rsidR="003B68F1" w:rsidRDefault="00511C98">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DWR;</w:t>
      </w:r>
    </w:p>
    <w:p w:rsidR="003B68F1" w:rsidRDefault="00511C98">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wynagrodzenie za czas urlopu </w:t>
      </w:r>
      <w:r>
        <w:rPr>
          <w:rFonts w:ascii="Times New Roman" w:hAnsi="Times New Roman" w:cs="Times New Roman"/>
          <w:sz w:val="24"/>
          <w:szCs w:val="24"/>
        </w:rPr>
        <w:t>wypoczynkowego i szkoleniowego;</w:t>
      </w:r>
    </w:p>
    <w:p w:rsidR="003B68F1" w:rsidRDefault="00511C98">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wynagrodzenie za czas niezdolności do pracy zgodnie z obowiązującymi przepisami w zakresie ubezpieczeń społecznych;</w:t>
      </w:r>
    </w:p>
    <w:p w:rsidR="003B68F1" w:rsidRDefault="00511C98">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ekwiwalent za niewykorzystany urlop wypoczynkowy w przypadku, gdy nastąpiło rozwiązanie lub wygaśnięcie stos</w:t>
      </w:r>
      <w:r>
        <w:rPr>
          <w:rFonts w:ascii="Times New Roman" w:hAnsi="Times New Roman" w:cs="Times New Roman"/>
          <w:sz w:val="24"/>
          <w:szCs w:val="24"/>
        </w:rPr>
        <w:t>unku pracy;</w:t>
      </w:r>
    </w:p>
    <w:p w:rsidR="003B68F1" w:rsidRDefault="00511C98">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wynagrodzenie za pracę w godzinach nadliczbowych (zgodnie z regulaminem wewnętrznym obowiązującym w danej instytucji);</w:t>
      </w:r>
    </w:p>
    <w:p w:rsidR="003B68F1" w:rsidRDefault="00511C98">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składki na ubezpieczenie społeczne i zdrowotne płacone przez pracodawcę;</w:t>
      </w:r>
    </w:p>
    <w:p w:rsidR="003B68F1" w:rsidRDefault="00511C98">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składki na Fundusz Pracy; </w:t>
      </w:r>
    </w:p>
    <w:p w:rsidR="003B68F1" w:rsidRDefault="00511C98">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składki na Fundusz Gwaran</w:t>
      </w:r>
      <w:r>
        <w:rPr>
          <w:rFonts w:ascii="Times New Roman" w:hAnsi="Times New Roman" w:cs="Times New Roman"/>
          <w:sz w:val="24"/>
          <w:szCs w:val="24"/>
        </w:rPr>
        <w:t>towanych Świadczeń Pracowniczych;</w:t>
      </w:r>
    </w:p>
    <w:p w:rsidR="003B68F1" w:rsidRDefault="00511C98">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dodatki wynikające z powszechnie obowiązujących przepisów prawa lub regulaminów;</w:t>
      </w:r>
    </w:p>
    <w:p w:rsidR="003B68F1" w:rsidRDefault="00511C98">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funkcyjny;</w:t>
      </w:r>
    </w:p>
    <w:p w:rsidR="003B68F1" w:rsidRDefault="00511C98">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za wieloletnią pracę (stażowy);</w:t>
      </w:r>
    </w:p>
    <w:p w:rsidR="003B68F1" w:rsidRDefault="00511C98">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służby cywilnej z tytułu posiadanego stopnia służbowego;</w:t>
      </w:r>
    </w:p>
    <w:p w:rsidR="003B68F1" w:rsidRDefault="00511C98">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specjalny</w:t>
      </w:r>
      <w:r>
        <w:rPr>
          <w:rFonts w:ascii="Times New Roman" w:hAnsi="Times New Roman" w:cs="Times New Roman"/>
          <w:sz w:val="24"/>
          <w:szCs w:val="24"/>
        </w:rPr>
        <w:t xml:space="preserve">, wynikający ze specyfiki i charakteru wykonywanych zadań; </w:t>
      </w:r>
    </w:p>
    <w:p w:rsidR="003B68F1" w:rsidRDefault="00511C98">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zadaniowy;</w:t>
      </w:r>
    </w:p>
    <w:p w:rsidR="003B68F1" w:rsidRDefault="00511C98">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kontrolerski;</w:t>
      </w:r>
    </w:p>
    <w:p w:rsidR="003B68F1" w:rsidRDefault="00511C98">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nagrody/premie, które wynikają z powszechnie obowiązujących przepisów prawa lub regulaminu wynagrodzeń instytucji oraz są szczegółowo uzasadnione;</w:t>
      </w:r>
    </w:p>
    <w:p w:rsidR="003B68F1" w:rsidRDefault="00511C98">
      <w:pPr>
        <w:pStyle w:val="Akapitzlist"/>
        <w:numPr>
          <w:ilvl w:val="0"/>
          <w:numId w:val="13"/>
        </w:numPr>
        <w:spacing w:before="60" w:after="60"/>
        <w:jc w:val="both"/>
        <w:rPr>
          <w:rFonts w:ascii="Times New Roman" w:hAnsi="Times New Roman" w:cs="Times New Roman"/>
          <w:b/>
          <w:sz w:val="24"/>
          <w:szCs w:val="24"/>
        </w:rPr>
      </w:pPr>
      <w:r>
        <w:rPr>
          <w:rFonts w:ascii="Times New Roman" w:hAnsi="Times New Roman" w:cs="Times New Roman"/>
          <w:sz w:val="24"/>
          <w:szCs w:val="24"/>
        </w:rPr>
        <w:t>inne, op</w:t>
      </w:r>
      <w:r>
        <w:rPr>
          <w:rFonts w:ascii="Times New Roman" w:hAnsi="Times New Roman" w:cs="Times New Roman"/>
          <w:sz w:val="24"/>
          <w:szCs w:val="24"/>
        </w:rPr>
        <w:t>rócz wynagrodzeń, świadczenia pieniężne, które są przyznawane pracownikom podmiotu uprawnionego</w:t>
      </w:r>
      <w:r>
        <w:rPr>
          <w:rFonts w:ascii="Times New Roman" w:eastAsia="Calibri" w:hAnsi="Times New Roman" w:cs="Times New Roman"/>
          <w:sz w:val="24"/>
          <w:szCs w:val="24"/>
        </w:rPr>
        <w:t>:</w:t>
      </w:r>
    </w:p>
    <w:p w:rsidR="003B68F1" w:rsidRDefault="00511C98">
      <w:pPr>
        <w:pStyle w:val="Akapitzlist"/>
        <w:numPr>
          <w:ilvl w:val="0"/>
          <w:numId w:val="12"/>
        </w:numPr>
        <w:spacing w:before="60" w:after="60"/>
        <w:jc w:val="both"/>
        <w:rPr>
          <w:rFonts w:ascii="Times New Roman" w:hAnsi="Times New Roman" w:cs="Times New Roman"/>
          <w:sz w:val="24"/>
          <w:szCs w:val="24"/>
        </w:rPr>
      </w:pPr>
      <w:r>
        <w:rPr>
          <w:rFonts w:ascii="Times New Roman" w:hAnsi="Times New Roman" w:cs="Times New Roman"/>
          <w:sz w:val="24"/>
          <w:szCs w:val="24"/>
        </w:rPr>
        <w:t>koszty badań wstępnych, okresowych oraz kontrolnych;</w:t>
      </w:r>
    </w:p>
    <w:p w:rsidR="003B68F1" w:rsidRDefault="00511C98">
      <w:pPr>
        <w:pStyle w:val="Akapitzlist"/>
        <w:numPr>
          <w:ilvl w:val="0"/>
          <w:numId w:val="12"/>
        </w:numPr>
        <w:spacing w:before="60" w:after="60"/>
        <w:jc w:val="both"/>
        <w:rPr>
          <w:rFonts w:ascii="Times New Roman" w:hAnsi="Times New Roman" w:cs="Times New Roman"/>
          <w:sz w:val="24"/>
          <w:szCs w:val="24"/>
        </w:rPr>
      </w:pPr>
      <w:r>
        <w:rPr>
          <w:rFonts w:ascii="Times New Roman" w:hAnsi="Times New Roman" w:cs="Times New Roman"/>
          <w:sz w:val="24"/>
          <w:szCs w:val="24"/>
        </w:rPr>
        <w:t>ekwiwalent za zakup okularów korygujących wzrok do pracy przy monitorze;</w:t>
      </w:r>
    </w:p>
    <w:p w:rsidR="003B68F1" w:rsidRDefault="00511C98">
      <w:pPr>
        <w:pStyle w:val="Akapitzlist"/>
        <w:numPr>
          <w:ilvl w:val="0"/>
          <w:numId w:val="12"/>
        </w:numPr>
        <w:spacing w:before="60" w:after="60"/>
        <w:jc w:val="both"/>
        <w:rPr>
          <w:rFonts w:ascii="Times New Roman" w:hAnsi="Times New Roman" w:cs="Times New Roman"/>
          <w:sz w:val="24"/>
          <w:szCs w:val="24"/>
        </w:rPr>
      </w:pPr>
      <w:r>
        <w:rPr>
          <w:rFonts w:ascii="Times New Roman" w:hAnsi="Times New Roman" w:cs="Times New Roman"/>
          <w:sz w:val="24"/>
          <w:szCs w:val="24"/>
        </w:rPr>
        <w:t>ekwiwalent pieniężny za odzież ro</w:t>
      </w:r>
      <w:r>
        <w:rPr>
          <w:rFonts w:ascii="Times New Roman" w:hAnsi="Times New Roman" w:cs="Times New Roman"/>
          <w:sz w:val="24"/>
          <w:szCs w:val="24"/>
        </w:rPr>
        <w:t>boczą / pranie odzieży roboczej;</w:t>
      </w:r>
    </w:p>
    <w:p w:rsidR="003B68F1" w:rsidRDefault="00511C98">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podróże służbowe pracowników w związku z ich udziałem w delegacji służbowej krajowej lub zagranicznej, przy czym cel delegacji powinien być bezpośrednio związany z zadaniami kwalifikowalnymi instytucji w zakresie realizacji</w:t>
      </w:r>
      <w:r>
        <w:rPr>
          <w:rFonts w:ascii="Times New Roman" w:hAnsi="Times New Roman" w:cs="Times New Roman"/>
          <w:sz w:val="24"/>
          <w:szCs w:val="24"/>
        </w:rPr>
        <w:t xml:space="preserve"> PT PROW 2014-2020, a wydatki poniesione w ramach delegacji nie powinny przekraczać limitów obowiązujących daną jednostkę na podstawie przepisów krajowych lub regulacji wewnętrznych (jeżeli nie przekraczają stawek określonych w przepisach krajowych).</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Przej</w:t>
      </w:r>
      <w:r>
        <w:rPr>
          <w:rFonts w:ascii="Times New Roman" w:hAnsi="Times New Roman" w:cs="Times New Roman"/>
          <w:sz w:val="24"/>
          <w:szCs w:val="24"/>
        </w:rPr>
        <w:t>azdy powinny odbywać się przy użyciu najbardziej efektywnych i uzasadnionych ekonomicznie środków transportu.</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Koszty dojazdu prywatnymi środkami transportu rozliczane są tylko do wysokości określonej w odpowiednich przepisach krajowych lub w regulaminach w</w:t>
      </w:r>
      <w:r>
        <w:rPr>
          <w:rFonts w:ascii="Times New Roman" w:hAnsi="Times New Roman" w:cs="Times New Roman"/>
          <w:sz w:val="24"/>
          <w:szCs w:val="24"/>
        </w:rPr>
        <w:t xml:space="preserve">ewnętrznych </w:t>
      </w:r>
      <w:r>
        <w:rPr>
          <w:rFonts w:ascii="Times New Roman" w:hAnsi="Times New Roman" w:cs="Times New Roman"/>
          <w:sz w:val="24"/>
          <w:szCs w:val="24"/>
        </w:rPr>
        <w:lastRenderedPageBreak/>
        <w:t>beneficjentów, którzy nie są zobowiązani do stosowania przepisów krajowych (jeżeli nie przekraczają stawek określonych w przepisach krajowych).</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W przypadku podróży dokonanych samochodami służbowymi można doliczyć koszty związane z pracą kierowc</w:t>
      </w:r>
      <w:r>
        <w:rPr>
          <w:rFonts w:ascii="Times New Roman" w:hAnsi="Times New Roman" w:cs="Times New Roman"/>
          <w:sz w:val="24"/>
          <w:szCs w:val="24"/>
        </w:rPr>
        <w:t>y będącego pracownikiem etatowym beneficjenta (z wyjątkiem jego wynagrodzenia i innych przyznanych mu świadczeń pieniężnych – o ile stopień zaangażowania kierowcy w zadania związane z realizacją Programu nie wynosi co najmniej 50%), np. noclegi, wyżywienie</w:t>
      </w:r>
      <w:r>
        <w:rPr>
          <w:rFonts w:ascii="Times New Roman" w:hAnsi="Times New Roman" w:cs="Times New Roman"/>
          <w:sz w:val="24"/>
          <w:szCs w:val="24"/>
        </w:rPr>
        <w:t xml:space="preserve"> oraz opłaty za przejazd płatnymi odcinkami dróg. Koszty parkingu mogą być rozliczone w przypadku gdy dotyczą delegacji (np. opłata za parking hotelowy). Koszty związane z pracą takiego kierowcy nie obejmują jednak jego wynagrodzenia i innych przyznanych m</w:t>
      </w:r>
      <w:r>
        <w:rPr>
          <w:rFonts w:ascii="Times New Roman" w:hAnsi="Times New Roman" w:cs="Times New Roman"/>
          <w:sz w:val="24"/>
          <w:szCs w:val="24"/>
        </w:rPr>
        <w:t>u, ww. świadczeń pieniężnych, chyba że jest on jednocześnie w danym miesiącu pracownikiem zaangażowanym w realizację zadań kwalifikowalnych na poziomie co najmniej 50% swojego czasu pracy w tym miesiącu.</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Kwalifikowalne są także koszty związane z podróżami </w:t>
      </w:r>
      <w:r>
        <w:rPr>
          <w:rFonts w:ascii="Times New Roman" w:hAnsi="Times New Roman" w:cs="Times New Roman"/>
          <w:sz w:val="24"/>
          <w:szCs w:val="24"/>
        </w:rPr>
        <w:t xml:space="preserve">lotniczymi w sytuacji, gdy taką formę podróżowania można będzie uznać za najbardziej racjonalną w odniesieniu do realizacji operacji.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Koszty podróży służbowych pracowników podmiotu uprawionego z tytułu delegacji służbowej krajowej lub zagranicznej, poniesione od dnia 3 stycznia 2019 r., są kwalifikowalne w części, w jakiej dotyczą realizacji zadań kwalifikowalnych, bez obowiązku spełnian</w:t>
      </w:r>
      <w:r>
        <w:rPr>
          <w:rFonts w:ascii="Times New Roman" w:hAnsi="Times New Roman" w:cs="Times New Roman"/>
          <w:sz w:val="24"/>
          <w:szCs w:val="24"/>
        </w:rPr>
        <w:t xml:space="preserve">ia </w:t>
      </w:r>
      <w:r>
        <w:rPr>
          <w:rFonts w:ascii="Times New Roman" w:hAnsi="Times New Roman" w:cs="Times New Roman"/>
          <w:sz w:val="24"/>
          <w:szCs w:val="24"/>
        </w:rPr>
        <w:br/>
        <w:t xml:space="preserve">przez pracownika podmiotu uprawnionego warunku dot. procentowego zaangażowania </w:t>
      </w:r>
      <w:r>
        <w:rPr>
          <w:rFonts w:ascii="Times New Roman" w:hAnsi="Times New Roman" w:cs="Times New Roman"/>
          <w:sz w:val="24"/>
          <w:szCs w:val="24"/>
        </w:rPr>
        <w:br/>
        <w:t>czasu pracy w realizację zadań kwalifikowalnych w danym miesiącu na poziomie co najmniej 50%. W związku z tym beneficjent pomocy technicznej PROW 2014-2020 będzie zobligowa</w:t>
      </w:r>
      <w:r>
        <w:rPr>
          <w:rFonts w:ascii="Times New Roman" w:hAnsi="Times New Roman" w:cs="Times New Roman"/>
          <w:sz w:val="24"/>
          <w:szCs w:val="24"/>
        </w:rPr>
        <w:t>ny do wykazania (w przypadku zadeklarowania ww. kosztów) w jakim zakresie podróż ta dotyczyła realizacji zadań kwalifikowalnych (np. na podstawie agendy spotkania) i na tej podstawie ustalony będzie udział kosztów kwalifikowalnych podróży służbowej.</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W przy</w:t>
      </w:r>
      <w:r>
        <w:rPr>
          <w:rFonts w:ascii="Times New Roman" w:hAnsi="Times New Roman" w:cs="Times New Roman"/>
          <w:sz w:val="24"/>
          <w:szCs w:val="24"/>
        </w:rPr>
        <w:t xml:space="preserve">padku gdy spotkanie dotyczyło również realizacji zadań niekwalifikowalnych </w:t>
      </w:r>
      <w:r>
        <w:rPr>
          <w:rFonts w:ascii="Times New Roman" w:hAnsi="Times New Roman" w:cs="Times New Roman"/>
          <w:sz w:val="24"/>
          <w:szCs w:val="24"/>
        </w:rPr>
        <w:br/>
        <w:t>(co wynika np. z agendy spotkania), beneficjent – wnioskując o refundację 100 % kosztów poniesionych z tytułu podróży służbowej – powinien przedstawić Agencji uzasadnienie refundac</w:t>
      </w:r>
      <w:r>
        <w:rPr>
          <w:rFonts w:ascii="Times New Roman" w:hAnsi="Times New Roman" w:cs="Times New Roman"/>
          <w:sz w:val="24"/>
          <w:szCs w:val="24"/>
        </w:rPr>
        <w:t>ji kosztów w ww. wysokości. Np. gdy pracownik podmiotu uprawnionego (który jest np. ekspertem w danej dziedzinie) bierze udział w spotkaniu, a spotkanie dotyczy również realizacji zadań niekwalifikowalnych (co wynika np. z agendy spotkania), natomiast udzi</w:t>
      </w:r>
      <w:r>
        <w:rPr>
          <w:rFonts w:ascii="Times New Roman" w:hAnsi="Times New Roman" w:cs="Times New Roman"/>
          <w:sz w:val="24"/>
          <w:szCs w:val="24"/>
        </w:rPr>
        <w:t>ał osoby w spotkaniu dotyczy wyłącznie spraw związanych z zadaniami kwalifikowalnymi</w:t>
      </w:r>
      <w:r>
        <w:rPr>
          <w:rFonts w:ascii="Times New Roman" w:hAnsi="Times New Roman" w:cs="Times New Roman"/>
          <w:sz w:val="24"/>
          <w:szCs w:val="24"/>
        </w:rPr>
        <w:br/>
        <w:t>(np. oświadczenie na agendzie spotkania lub oświadczenie dołączone do agendy), wówczas koszt podróży służbowej pracownika można uznać w całości za kwalifikowalny.</w:t>
      </w:r>
    </w:p>
    <w:p w:rsidR="003B68F1" w:rsidRDefault="00511C98">
      <w:pPr>
        <w:spacing w:before="60" w:after="60"/>
        <w:jc w:val="both"/>
        <w:rPr>
          <w:rFonts w:ascii="Times New Roman" w:hAnsi="Times New Roman" w:cs="Times New Roman"/>
          <w:color w:val="FF0000"/>
          <w:sz w:val="24"/>
          <w:szCs w:val="24"/>
        </w:rPr>
      </w:pPr>
      <w:r>
        <w:rPr>
          <w:rFonts w:ascii="Times New Roman" w:hAnsi="Times New Roman" w:cs="Times New Roman"/>
          <w:sz w:val="24"/>
          <w:szCs w:val="24"/>
        </w:rPr>
        <w:t>Przykład</w:t>
      </w:r>
      <w:r>
        <w:rPr>
          <w:rFonts w:ascii="Times New Roman" w:hAnsi="Times New Roman" w:cs="Times New Roman"/>
          <w:sz w:val="24"/>
          <w:szCs w:val="24"/>
        </w:rPr>
        <w:t xml:space="preserve"> 1 W przypadku gdy pracownik podmiotu uprawnionego  nie realizuje na co dzień  zadań kwalifikowalnych w ramach PT PROW 2014-2020, a jego udział w spotkaniu był niezbędny z uwagi na posiadaną wiedzę i doświadczenie, a dotyczył wyłącznie spraw związanych z z</w:t>
      </w:r>
      <w:r>
        <w:rPr>
          <w:rFonts w:ascii="Times New Roman" w:hAnsi="Times New Roman" w:cs="Times New Roman"/>
          <w:sz w:val="24"/>
          <w:szCs w:val="24"/>
        </w:rPr>
        <w:t xml:space="preserve">adaniami kwalifikowalnymi, wówczas koszt podróży służbowej pracownika podmiotu uprawnionego można uznać w 100 %  za kwalifikowalny ze środków PT. </w:t>
      </w:r>
      <w:r>
        <w:rPr>
          <w:rFonts w:ascii="Times New Roman" w:hAnsi="Times New Roman" w:cs="Times New Roman"/>
          <w:color w:val="FF0000"/>
          <w:sz w:val="24"/>
          <w:szCs w:val="24"/>
        </w:rPr>
        <w:t xml:space="preserve">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Do kosztów kwalifikowalnych zaliczyć także można ryczałty za dojazdy – zgodnie </w:t>
      </w:r>
      <w:r>
        <w:rPr>
          <w:rFonts w:ascii="Times New Roman" w:hAnsi="Times New Roman" w:cs="Times New Roman"/>
          <w:sz w:val="24"/>
          <w:szCs w:val="24"/>
        </w:rPr>
        <w:br/>
        <w:t xml:space="preserve">z wystawionymi delegacjami.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Wydatki związane z podróżami służbowymi, które nie doszły do skutku, stanowią wydatek niekwalifikowalny w ramach  pomocy technicznej. Odstępstwem od tej zasady będzie koszt usługi noclegu poniesiony w związku z organizowaniem szkoleń, konferencji, spotkań</w:t>
      </w:r>
      <w:r>
        <w:rPr>
          <w:rFonts w:ascii="Times New Roman" w:hAnsi="Times New Roman" w:cs="Times New Roman"/>
          <w:sz w:val="24"/>
          <w:szCs w:val="24"/>
        </w:rPr>
        <w:t>, komitetów itp. W przypadku gdy faktyczna liczba uczestników, która została zgłoszona do korzystania z usługi noclegu, jest mniejsza o nie więcej niż 15% liczby uczestników deklarujących swój udział (przy dochowaniu należytej staranności przez organizator</w:t>
      </w:r>
      <w:r>
        <w:rPr>
          <w:rFonts w:ascii="Times New Roman" w:hAnsi="Times New Roman" w:cs="Times New Roman"/>
          <w:sz w:val="24"/>
          <w:szCs w:val="24"/>
        </w:rPr>
        <w:t xml:space="preserve">a wydarzenia na etapie jego planowania i rekrutacji uczestników), wówczas za kwalifikowalny uznaje się koszt usługi noclegowej w całości wynikający z deklarowanego udziału na podstawie wystawionej i opłaconej faktury lub równoważnego dokumentu. </w:t>
      </w:r>
    </w:p>
    <w:p w:rsidR="003B68F1" w:rsidRDefault="003B68F1">
      <w:pPr>
        <w:spacing w:before="60" w:after="60"/>
        <w:jc w:val="both"/>
        <w:rPr>
          <w:rFonts w:ascii="Times New Roman" w:hAnsi="Times New Roman" w:cs="Times New Roman"/>
          <w:sz w:val="24"/>
          <w:szCs w:val="24"/>
        </w:rPr>
      </w:pP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b/>
          <w:sz w:val="24"/>
          <w:szCs w:val="24"/>
        </w:rPr>
        <w:t xml:space="preserve">Przykład </w:t>
      </w:r>
      <w:r>
        <w:rPr>
          <w:rFonts w:ascii="Times New Roman" w:hAnsi="Times New Roman" w:cs="Times New Roman"/>
          <w:b/>
          <w:sz w:val="24"/>
          <w:szCs w:val="24"/>
        </w:rPr>
        <w:t>1</w:t>
      </w:r>
      <w:r>
        <w:rPr>
          <w:rFonts w:ascii="Times New Roman" w:hAnsi="Times New Roman" w:cs="Times New Roman"/>
          <w:sz w:val="24"/>
          <w:szCs w:val="24"/>
        </w:rPr>
        <w:t xml:space="preserve"> W wydarzeniu udział zadeklarowało 100 osób, a faktycznie udział wzięło 87 osób. Zatem faktyczna liczba uczestników, która nie wzięła udziału w wydarzeniu jest mniejsza o nie więcej niż 15% (wynosi 13%) liczby uczestników deklarujących swój udział. Zatem </w:t>
      </w:r>
      <w:r>
        <w:rPr>
          <w:rFonts w:ascii="Times New Roman" w:hAnsi="Times New Roman" w:cs="Times New Roman"/>
          <w:sz w:val="24"/>
          <w:szCs w:val="24"/>
        </w:rPr>
        <w:t xml:space="preserve">koszt usługi noclegowej dla 100 osób wynikający z wystawionej i opłaconej </w:t>
      </w:r>
      <w:r>
        <w:rPr>
          <w:rFonts w:ascii="Times New Roman" w:hAnsi="Times New Roman" w:cs="Times New Roman"/>
          <w:sz w:val="24"/>
          <w:szCs w:val="24"/>
        </w:rPr>
        <w:br/>
        <w:t>faktury / równoważnego dokumentu jest kwalifikowalny w 100%.</w:t>
      </w:r>
    </w:p>
    <w:p w:rsidR="003B68F1" w:rsidRDefault="003B68F1">
      <w:pPr>
        <w:spacing w:before="60" w:after="60"/>
        <w:jc w:val="both"/>
        <w:rPr>
          <w:rFonts w:ascii="Times New Roman" w:hAnsi="Times New Roman" w:cs="Times New Roman"/>
          <w:sz w:val="24"/>
          <w:szCs w:val="24"/>
        </w:rPr>
      </w:pP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w:t>
      </w:r>
      <w:r>
        <w:rPr>
          <w:rFonts w:ascii="Times New Roman" w:hAnsi="Times New Roman" w:cs="Times New Roman"/>
          <w:sz w:val="24"/>
          <w:szCs w:val="24"/>
        </w:rPr>
        <w:br/>
        <w:t>83 osoby. Zatem faktyczna liczba ucz</w:t>
      </w:r>
      <w:r>
        <w:rPr>
          <w:rFonts w:ascii="Times New Roman" w:hAnsi="Times New Roman" w:cs="Times New Roman"/>
          <w:sz w:val="24"/>
          <w:szCs w:val="24"/>
        </w:rPr>
        <w:t xml:space="preserve">estników, która nie wzięła udziału w wydarzeniu jest większa od 15% (wynosi 17%) liczby uczestników deklarujących swój udział. Zatem koszt usługi noclegowej dla 100 osób wynikający z wystawionej i opłaconej </w:t>
      </w:r>
      <w:r>
        <w:rPr>
          <w:rFonts w:ascii="Times New Roman" w:hAnsi="Times New Roman" w:cs="Times New Roman"/>
          <w:sz w:val="24"/>
          <w:szCs w:val="24"/>
        </w:rPr>
        <w:br/>
        <w:t>faktury / równoważnego dokumentu powinien być po</w:t>
      </w:r>
      <w:r>
        <w:rPr>
          <w:rFonts w:ascii="Times New Roman" w:hAnsi="Times New Roman" w:cs="Times New Roman"/>
          <w:sz w:val="24"/>
          <w:szCs w:val="24"/>
        </w:rPr>
        <w:t>mniejszony o koszt dot. 2 osób (100 – 15 [dopuszczalny limit] – 83).</w:t>
      </w:r>
    </w:p>
    <w:p w:rsidR="003B68F1" w:rsidRDefault="003B68F1">
      <w:pPr>
        <w:spacing w:before="60" w:after="60"/>
        <w:jc w:val="both"/>
        <w:rPr>
          <w:rFonts w:ascii="Times New Roman" w:hAnsi="Times New Roman" w:cs="Times New Roman"/>
          <w:sz w:val="24"/>
          <w:szCs w:val="24"/>
        </w:rPr>
      </w:pPr>
    </w:p>
    <w:p w:rsidR="003B68F1" w:rsidRDefault="00511C98">
      <w:pPr>
        <w:spacing w:before="60" w:after="60"/>
        <w:jc w:val="both"/>
        <w:rPr>
          <w:rFonts w:ascii="Times New Roman" w:hAnsi="Times New Roman" w:cs="Times New Roman"/>
          <w:b/>
          <w:bCs/>
          <w:i/>
          <w:sz w:val="24"/>
          <w:szCs w:val="24"/>
        </w:rPr>
      </w:pPr>
      <w:r>
        <w:rPr>
          <w:rFonts w:ascii="Times New Roman" w:hAnsi="Times New Roman" w:cs="Times New Roman"/>
          <w:b/>
          <w:bCs/>
          <w:i/>
          <w:sz w:val="24"/>
          <w:szCs w:val="24"/>
        </w:rPr>
        <w:t>Przykład 1 Rozliczenie wynagrodzeń</w:t>
      </w:r>
    </w:p>
    <w:p w:rsidR="003B68F1" w:rsidRDefault="00511C98">
      <w:pPr>
        <w:spacing w:before="60" w:after="60"/>
        <w:jc w:val="both"/>
        <w:rPr>
          <w:rFonts w:ascii="Times New Roman" w:hAnsi="Times New Roman" w:cs="Times New Roman"/>
          <w:i/>
          <w:sz w:val="24"/>
          <w:szCs w:val="24"/>
        </w:rPr>
      </w:pPr>
      <w:r>
        <w:rPr>
          <w:rFonts w:ascii="Times New Roman" w:hAnsi="Times New Roman" w:cs="Times New Roman"/>
          <w:i/>
          <w:sz w:val="24"/>
          <w:szCs w:val="24"/>
        </w:rPr>
        <w:t>Pracownik w danym miesiącu wykonywał zadania kwalifikowalne w 50% swojego czasu pracy (na podstawie opisu stanowiska pracy), z czego 7 dni przebywał na</w:t>
      </w:r>
      <w:r>
        <w:rPr>
          <w:rFonts w:ascii="Times New Roman" w:hAnsi="Times New Roman" w:cs="Times New Roman"/>
          <w:i/>
          <w:sz w:val="24"/>
          <w:szCs w:val="24"/>
        </w:rPr>
        <w:t xml:space="preserve"> urlopie. Wynagrodzenie za ten miesiąc jest kwalifikowalne w 50%.</w:t>
      </w:r>
    </w:p>
    <w:p w:rsidR="003B68F1" w:rsidRDefault="003B68F1">
      <w:pPr>
        <w:spacing w:before="60" w:after="60"/>
        <w:jc w:val="both"/>
        <w:rPr>
          <w:rFonts w:ascii="Times New Roman" w:hAnsi="Times New Roman" w:cs="Times New Roman"/>
          <w:i/>
          <w:sz w:val="24"/>
          <w:szCs w:val="24"/>
        </w:rPr>
      </w:pPr>
    </w:p>
    <w:p w:rsidR="003B68F1" w:rsidRDefault="00511C98">
      <w:pPr>
        <w:spacing w:before="60" w:after="60"/>
        <w:jc w:val="both"/>
        <w:rPr>
          <w:rFonts w:ascii="Times New Roman" w:hAnsi="Times New Roman" w:cs="Times New Roman"/>
          <w:b/>
          <w:i/>
          <w:sz w:val="24"/>
          <w:szCs w:val="24"/>
        </w:rPr>
      </w:pPr>
      <w:r>
        <w:rPr>
          <w:rFonts w:ascii="Times New Roman" w:hAnsi="Times New Roman" w:cs="Times New Roman"/>
          <w:b/>
          <w:i/>
          <w:sz w:val="24"/>
          <w:szCs w:val="24"/>
        </w:rPr>
        <w:t>Przykład 2 Rozliczenie DWR</w:t>
      </w:r>
    </w:p>
    <w:p w:rsidR="003B68F1" w:rsidRDefault="00511C98">
      <w:pPr>
        <w:spacing w:before="60" w:after="60"/>
        <w:jc w:val="both"/>
        <w:rPr>
          <w:rFonts w:ascii="Times New Roman" w:hAnsi="Times New Roman" w:cs="Times New Roman"/>
          <w:i/>
          <w:sz w:val="24"/>
          <w:szCs w:val="24"/>
        </w:rPr>
      </w:pPr>
      <w:r>
        <w:rPr>
          <w:rFonts w:ascii="Times New Roman" w:hAnsi="Times New Roman" w:cs="Times New Roman"/>
          <w:i/>
          <w:sz w:val="24"/>
          <w:szCs w:val="24"/>
        </w:rPr>
        <w:t>Pracownik instytucji miał wypłacane wynagrodzenie będące podstawą naliczenia dodatkowego wynagrodzenia rocznego przez cały rok, z czego przez 6 miesięcy jego wyna</w:t>
      </w:r>
      <w:r>
        <w:rPr>
          <w:rFonts w:ascii="Times New Roman" w:hAnsi="Times New Roman" w:cs="Times New Roman"/>
          <w:i/>
          <w:sz w:val="24"/>
          <w:szCs w:val="24"/>
        </w:rPr>
        <w:t xml:space="preserve">grodzenie było finansowane w 50% z pomocy technicznej. Kwalifikowalność </w:t>
      </w:r>
      <w:r>
        <w:rPr>
          <w:rFonts w:ascii="Times New Roman" w:hAnsi="Times New Roman" w:cs="Times New Roman"/>
          <w:i/>
          <w:sz w:val="24"/>
          <w:szCs w:val="24"/>
        </w:rPr>
        <w:br/>
        <w:t>DWR wyliczana jest następująco:</w:t>
      </w:r>
    </w:p>
    <w:p w:rsidR="003B68F1" w:rsidRDefault="00511C98">
      <w:pPr>
        <w:spacing w:before="60" w:after="60"/>
        <w:ind w:left="2124" w:firstLine="708"/>
        <w:rPr>
          <w:rFonts w:ascii="Times New Roman" w:eastAsia="CambriaMath" w:hAnsi="Times New Roman" w:cs="Times New Roman"/>
          <w:i/>
          <w:sz w:val="24"/>
          <w:szCs w:val="24"/>
          <w:u w:val="single"/>
        </w:rPr>
      </w:pPr>
      <w:r>
        <w:rPr>
          <w:rFonts w:ascii="Times New Roman" w:eastAsia="CambriaMath" w:hAnsi="Times New Roman" w:cs="Times New Roman"/>
          <w:i/>
          <w:sz w:val="24"/>
          <w:szCs w:val="24"/>
          <w:u w:val="single"/>
        </w:rPr>
        <w:t xml:space="preserve">6x0,5 + 6x0 </w:t>
      </w:r>
      <w:r>
        <w:rPr>
          <w:rFonts w:ascii="Times New Roman" w:eastAsia="CambriaMath" w:hAnsi="Times New Roman" w:cs="Times New Roman"/>
          <w:i/>
          <w:sz w:val="24"/>
          <w:szCs w:val="24"/>
        </w:rPr>
        <w:t xml:space="preserve">=  </w:t>
      </w:r>
      <w:r>
        <w:rPr>
          <w:rFonts w:ascii="Times New Roman" w:eastAsia="CambriaMath" w:hAnsi="Times New Roman" w:cs="Times New Roman"/>
          <w:i/>
          <w:sz w:val="24"/>
          <w:szCs w:val="24"/>
          <w:u w:val="single"/>
        </w:rPr>
        <w:t xml:space="preserve">3 </w:t>
      </w:r>
      <w:r>
        <w:rPr>
          <w:rFonts w:ascii="Times New Roman" w:eastAsia="CambriaMath" w:hAnsi="Times New Roman" w:cs="Times New Roman"/>
          <w:i/>
          <w:sz w:val="24"/>
          <w:szCs w:val="24"/>
        </w:rPr>
        <w:t xml:space="preserve"> = 0,25</w:t>
      </w:r>
    </w:p>
    <w:p w:rsidR="003B68F1" w:rsidRDefault="00511C98">
      <w:pPr>
        <w:pStyle w:val="Akapitzlist"/>
        <w:numPr>
          <w:ilvl w:val="0"/>
          <w:numId w:val="2"/>
        </w:numPr>
        <w:spacing w:before="60" w:after="60"/>
        <w:rPr>
          <w:rFonts w:ascii="Times New Roman" w:eastAsia="CambriaMath" w:hAnsi="Times New Roman" w:cs="Times New Roman"/>
          <w:i/>
          <w:sz w:val="24"/>
          <w:szCs w:val="24"/>
        </w:rPr>
      </w:pPr>
      <w:r>
        <w:rPr>
          <w:rFonts w:ascii="Times New Roman" w:eastAsia="CambriaMath" w:hAnsi="Times New Roman" w:cs="Times New Roman"/>
          <w:i/>
          <w:sz w:val="24"/>
          <w:szCs w:val="24"/>
        </w:rPr>
        <w:t xml:space="preserve">      12</w:t>
      </w:r>
    </w:p>
    <w:p w:rsidR="003B68F1" w:rsidRDefault="00511C98">
      <w:pPr>
        <w:tabs>
          <w:tab w:val="left" w:pos="284"/>
        </w:tabs>
        <w:spacing w:before="60" w:after="60"/>
        <w:jc w:val="both"/>
        <w:rPr>
          <w:rFonts w:ascii="Times New Roman" w:hAnsi="Times New Roman" w:cs="Times New Roman"/>
          <w:b/>
          <w:i/>
          <w:sz w:val="24"/>
          <w:szCs w:val="24"/>
        </w:rPr>
      </w:pPr>
      <w:r>
        <w:rPr>
          <w:rFonts w:ascii="Times New Roman" w:hAnsi="Times New Roman" w:cs="Times New Roman"/>
          <w:b/>
          <w:i/>
          <w:sz w:val="24"/>
          <w:szCs w:val="24"/>
        </w:rPr>
        <w:t>Przykład 3 Rozliczenie wynagrodzeń</w:t>
      </w:r>
    </w:p>
    <w:p w:rsidR="003B68F1" w:rsidRDefault="00511C98">
      <w:pPr>
        <w:spacing w:before="60" w:after="60"/>
        <w:jc w:val="both"/>
        <w:rPr>
          <w:rFonts w:ascii="Times New Roman" w:hAnsi="Times New Roman" w:cs="Times New Roman"/>
          <w:i/>
          <w:sz w:val="24"/>
          <w:szCs w:val="24"/>
        </w:rPr>
      </w:pPr>
      <w:r>
        <w:rPr>
          <w:rFonts w:ascii="Times New Roman" w:hAnsi="Times New Roman" w:cs="Times New Roman"/>
          <w:i/>
          <w:sz w:val="24"/>
          <w:szCs w:val="24"/>
        </w:rPr>
        <w:t>Pracownik zatrudniony jest na 0,75 etatu, ale w 60% swojego czasu pracy wykonuje zadania związane z PROW. Przyjmując za podstawę wynagrodzenie pracownika, które otrzymuje za 0,75 etatu w wysokości 1000 zł brutto miesięcznie. Wynagrodzenie  jest kwalifikowa</w:t>
      </w:r>
      <w:r>
        <w:rPr>
          <w:rFonts w:ascii="Times New Roman" w:hAnsi="Times New Roman" w:cs="Times New Roman"/>
          <w:i/>
          <w:sz w:val="24"/>
          <w:szCs w:val="24"/>
        </w:rPr>
        <w:t xml:space="preserve">lne </w:t>
      </w:r>
      <w:r>
        <w:rPr>
          <w:rFonts w:ascii="Times New Roman" w:hAnsi="Times New Roman" w:cs="Times New Roman"/>
          <w:i/>
          <w:sz w:val="24"/>
          <w:szCs w:val="24"/>
        </w:rPr>
        <w:br/>
        <w:t xml:space="preserve">w takiej części, w jakiej dany pracownik poświęca swoją cześć pracy na zadania na rzecz </w:t>
      </w:r>
      <w:r>
        <w:rPr>
          <w:rFonts w:ascii="Times New Roman" w:hAnsi="Times New Roman" w:cs="Times New Roman"/>
          <w:i/>
          <w:sz w:val="24"/>
          <w:szCs w:val="24"/>
        </w:rPr>
        <w:lastRenderedPageBreak/>
        <w:t>PROW 2014-2020, a zatem 60% od kwoty wynagrodzenia, niezależnie od tego, czy pracownik jest zatrudniony na pełny etat, 0,75 czy 0,5 etatu.</w:t>
      </w:r>
    </w:p>
    <w:p w:rsidR="003B68F1" w:rsidRDefault="00511C98">
      <w:pPr>
        <w:tabs>
          <w:tab w:val="left" w:pos="284"/>
        </w:tabs>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Przykład 4  Rozliczenie </w:t>
      </w:r>
      <w:r>
        <w:rPr>
          <w:rFonts w:ascii="Times New Roman" w:hAnsi="Times New Roman" w:cs="Times New Roman"/>
          <w:i/>
          <w:sz w:val="24"/>
          <w:szCs w:val="24"/>
        </w:rPr>
        <w:t xml:space="preserve">delegacji krajowych (ryczałt za dojazdy wykładowców) </w:t>
      </w:r>
    </w:p>
    <w:p w:rsidR="003B68F1" w:rsidRDefault="00511C98">
      <w:pPr>
        <w:tabs>
          <w:tab w:val="left" w:pos="284"/>
        </w:tabs>
        <w:spacing w:before="60" w:after="60"/>
        <w:jc w:val="both"/>
        <w:rPr>
          <w:rFonts w:ascii="Times New Roman" w:hAnsi="Times New Roman" w:cs="Times New Roman"/>
          <w:i/>
          <w:sz w:val="24"/>
          <w:szCs w:val="24"/>
        </w:rPr>
      </w:pPr>
      <w:r>
        <w:rPr>
          <w:rFonts w:ascii="Times New Roman" w:hAnsi="Times New Roman" w:cs="Times New Roman"/>
          <w:i/>
          <w:sz w:val="24"/>
          <w:szCs w:val="24"/>
        </w:rPr>
        <w:t>Jeżeli koszt dojazdu wykładowców będzie uznany za celowy i niezbędny, a podróż samochodem  uzasadniona z ekonomicznego punktu widzenia,  to zasadne jest rozliczenie na podstawie kilometrówki, tj. stosuj</w:t>
      </w:r>
      <w:r>
        <w:rPr>
          <w:rFonts w:ascii="Times New Roman" w:hAnsi="Times New Roman" w:cs="Times New Roman"/>
          <w:i/>
          <w:sz w:val="24"/>
          <w:szCs w:val="24"/>
        </w:rPr>
        <w:t>ąc rozporządzenie o sposobie dokonania zwrotu kosztów używania do celów służbowych samochodów osobowych wraz z przedstawieniem przez wykładowcę stosownego dokumentu wskazującego szczegółowo trasę przejazdu, liczbę faktycznie przejechanych km, zastosowaną s</w:t>
      </w:r>
      <w:r>
        <w:rPr>
          <w:rFonts w:ascii="Times New Roman" w:hAnsi="Times New Roman" w:cs="Times New Roman"/>
          <w:i/>
          <w:sz w:val="24"/>
          <w:szCs w:val="24"/>
        </w:rPr>
        <w:t>tawkę za 1 km przebiegu oraz rodzaj pojazdu wraz z pojemnością silnika.</w:t>
      </w:r>
    </w:p>
    <w:p w:rsidR="003B68F1" w:rsidRDefault="003B68F1">
      <w:pPr>
        <w:spacing w:before="60" w:after="60"/>
        <w:jc w:val="both"/>
        <w:rPr>
          <w:rFonts w:ascii="Times New Roman" w:hAnsi="Times New Roman" w:cs="Times New Roman"/>
          <w:i/>
          <w:sz w:val="24"/>
          <w:szCs w:val="24"/>
        </w:rPr>
      </w:pPr>
    </w:p>
    <w:p w:rsidR="003B68F1" w:rsidRDefault="00511C98">
      <w:pPr>
        <w:pStyle w:val="Akapitzlist"/>
        <w:numPr>
          <w:ilvl w:val="0"/>
          <w:numId w:val="27"/>
        </w:numPr>
        <w:spacing w:before="60" w:after="6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Świadczenia pieniężne przyznane pracownikowi podmiotu uprawnionego w związku z  podnoszeniem  kwalifikacji zawodowych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Koszty świadczeń pieniężnych przyznanych pracownikowi z tytułu samodzielnego podnoszenia kwalifikacji mogą być uznane za kwalifikowalne, jeżeli pracownik wykonywał zadania kwalifikowalne przez co najmniej 50% swojego czasu pracy w danym miesiącu, przy czym</w:t>
      </w:r>
      <w:r>
        <w:rPr>
          <w:rFonts w:ascii="Times New Roman" w:hAnsi="Times New Roman" w:cs="Times New Roman"/>
          <w:sz w:val="24"/>
          <w:szCs w:val="24"/>
        </w:rPr>
        <w:t xml:space="preserve"> kwota kwalifikowalna określana jest zgodnie z zasadą proporcjonalności.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Zasada, zgodnie z którą wymagane jest minimum 50% zaangażowania pracownika </w:t>
      </w:r>
      <w:r>
        <w:rPr>
          <w:rFonts w:ascii="Times New Roman" w:hAnsi="Times New Roman" w:cs="Times New Roman"/>
          <w:sz w:val="24"/>
          <w:szCs w:val="24"/>
        </w:rPr>
        <w:br/>
        <w:t>w realizację zadań kwalifikowanych, nie dotyczy kosztów poniesionych przez podmiot uprawniony przed wejści</w:t>
      </w:r>
      <w:r>
        <w:rPr>
          <w:rFonts w:ascii="Times New Roman" w:hAnsi="Times New Roman" w:cs="Times New Roman"/>
          <w:sz w:val="24"/>
          <w:szCs w:val="24"/>
        </w:rPr>
        <w:t>em w życie rozporządzenia o PT,  tj. przed dniem 5 października 2016 r. Niemniej w okresie tym kwota kwalifikowalna określana jest zgodnie z zasadą proporcjonalności.</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Odstępstwo od zasady proporcjonalności może nastąpić w przypadku, gdy dane szkolenie, kur</w:t>
      </w:r>
      <w:r>
        <w:rPr>
          <w:rFonts w:ascii="Times New Roman" w:hAnsi="Times New Roman" w:cs="Times New Roman"/>
          <w:sz w:val="24"/>
          <w:szCs w:val="24"/>
        </w:rPr>
        <w:t xml:space="preserve">s itd. obejmuje tematykę związaną wyłącznie z realizacją zadań kwalifikowalnych </w:t>
      </w:r>
      <w:r>
        <w:rPr>
          <w:rFonts w:ascii="Times New Roman" w:hAnsi="Times New Roman" w:cs="Times New Roman"/>
          <w:sz w:val="24"/>
          <w:szCs w:val="24"/>
        </w:rPr>
        <w:br/>
        <w:t>i zdobyte umiejętności oraz wiedza będą mogły być wykorzystane wyłącznie przy wykonywaniu tych zadań. Wówczas istnieje możliwość kwalifikowania kosztów w 100%.</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Przykładem umie</w:t>
      </w:r>
      <w:r>
        <w:rPr>
          <w:rFonts w:ascii="Times New Roman" w:hAnsi="Times New Roman" w:cs="Times New Roman"/>
          <w:sz w:val="24"/>
          <w:szCs w:val="24"/>
        </w:rPr>
        <w:t xml:space="preserve">jętności i wiedzy, które nie są wykorzystywane wyłącznie przy wykonywaniu zadań kwalifikowalnych, są kursy i szkolenia w zakresie umiejętności i wiedzy ogólnej (dotyczy to m.in. kursów i szkoleń językowych, z umiejętności interpersonalnych, </w:t>
      </w:r>
      <w:r>
        <w:rPr>
          <w:rFonts w:ascii="Times New Roman" w:hAnsi="Times New Roman" w:cs="Times New Roman"/>
          <w:sz w:val="24"/>
          <w:szCs w:val="24"/>
        </w:rPr>
        <w:br/>
        <w:t>z umiejętności</w:t>
      </w:r>
      <w:r>
        <w:rPr>
          <w:rFonts w:ascii="Times New Roman" w:hAnsi="Times New Roman" w:cs="Times New Roman"/>
          <w:sz w:val="24"/>
          <w:szCs w:val="24"/>
        </w:rPr>
        <w:t xml:space="preserve"> negocjacji, zarządzania stresem, zarządzania czasem, autoprezentacji, </w:t>
      </w:r>
      <w:r>
        <w:rPr>
          <w:rFonts w:ascii="Times New Roman" w:hAnsi="Times New Roman" w:cs="Times New Roman"/>
          <w:sz w:val="24"/>
          <w:szCs w:val="24"/>
        </w:rPr>
        <w:br/>
        <w:t xml:space="preserve">w zakresie posługiwania się ogólnymi narzędziami informatycznymi). </w:t>
      </w:r>
      <w:r>
        <w:rPr>
          <w:rFonts w:ascii="Times New Roman" w:hAnsi="Times New Roman" w:cs="Times New Roman"/>
        </w:rPr>
        <w:t xml:space="preserve">Nie dotyczy to szkolenia/kursu językowego o charakterze specjalistycznym, czyli polegającego na nabyciu umiejętności </w:t>
      </w:r>
      <w:r>
        <w:rPr>
          <w:rFonts w:ascii="Times New Roman" w:hAnsi="Times New Roman" w:cs="Times New Roman"/>
        </w:rPr>
        <w:t>i wiedzy z zakresu terminologii/pojęć/słownictwa o specjalizacji, związanej z Wspólną Polityką Rolną, którego koszt jest kwalifikowalny w 100%.</w:t>
      </w:r>
      <w:r>
        <w:rPr>
          <w:rFonts w:ascii="Times New Roman" w:hAnsi="Times New Roman" w:cs="Times New Roman"/>
          <w:sz w:val="24"/>
          <w:szCs w:val="24"/>
        </w:rPr>
        <w:t xml:space="preserve"> </w:t>
      </w:r>
    </w:p>
    <w:p w:rsidR="003B68F1" w:rsidRDefault="00511C98">
      <w:pPr>
        <w:spacing w:before="60" w:after="60"/>
        <w:jc w:val="both"/>
        <w:rPr>
          <w:rFonts w:ascii="Times New Roman" w:hAnsi="Times New Roman" w:cs="Times New Roman"/>
          <w:spacing w:val="4"/>
          <w:sz w:val="24"/>
          <w:szCs w:val="24"/>
        </w:rPr>
      </w:pPr>
      <w:r>
        <w:rPr>
          <w:rFonts w:ascii="Times New Roman" w:hAnsi="Times New Roman" w:cs="Times New Roman"/>
          <w:sz w:val="24"/>
          <w:szCs w:val="24"/>
        </w:rPr>
        <w:t>Pod pojęciem podnoszenia kwalifikacji zawodowych należy rozumieć dostępne formy kształcenia, tj.: szkolenia, wa</w:t>
      </w:r>
      <w:r>
        <w:rPr>
          <w:rFonts w:ascii="Times New Roman" w:hAnsi="Times New Roman" w:cs="Times New Roman"/>
          <w:sz w:val="24"/>
          <w:szCs w:val="24"/>
        </w:rPr>
        <w:t>rsztaty, seminaria, kursy, studia podyplomowe.</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pacing w:val="4"/>
          <w:sz w:val="24"/>
          <w:szCs w:val="24"/>
        </w:rPr>
        <w:t xml:space="preserve">Warunkiem kwalifikowalności kosztów szkoleń, kursów itd. jest zgodność ich tematyki </w:t>
      </w:r>
      <w:r>
        <w:rPr>
          <w:rFonts w:ascii="Times New Roman" w:hAnsi="Times New Roman" w:cs="Times New Roman"/>
          <w:spacing w:val="4"/>
          <w:sz w:val="24"/>
          <w:szCs w:val="24"/>
        </w:rPr>
        <w:br/>
        <w:t>z polityką szkoleniową jednostki organizacyjnej oraz zakresem zadań realizowanych na zajmowanym stanowisku pracy, określonyc</w:t>
      </w:r>
      <w:r>
        <w:rPr>
          <w:rFonts w:ascii="Times New Roman" w:hAnsi="Times New Roman" w:cs="Times New Roman"/>
          <w:spacing w:val="4"/>
          <w:sz w:val="24"/>
          <w:szCs w:val="24"/>
        </w:rPr>
        <w:t xml:space="preserve">h w opisie stanowiska pracy lub w dokumencie równoważnym. </w:t>
      </w:r>
      <w:r>
        <w:rPr>
          <w:rFonts w:ascii="Times New Roman" w:hAnsi="Times New Roman" w:cs="Times New Roman"/>
          <w:sz w:val="24"/>
          <w:szCs w:val="24"/>
        </w:rPr>
        <w:t xml:space="preserve">Dokumentami potwierdzającymi wydatki w tym zakresie </w:t>
      </w:r>
      <w:r>
        <w:rPr>
          <w:rFonts w:ascii="Times New Roman" w:hAnsi="Times New Roman" w:cs="Times New Roman"/>
          <w:sz w:val="24"/>
          <w:szCs w:val="24"/>
        </w:rPr>
        <w:lastRenderedPageBreak/>
        <w:t xml:space="preserve">powinny być: dowód poniesienia kosztów przez beneficjenta i pracownika oraz świadectwo lub inny dokument potwierdzający ukończenie kursu przez pracownika.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Zakup materiałów szkoleniowych (np. podręczników</w:t>
      </w:r>
      <w:r>
        <w:rPr>
          <w:rFonts w:ascii="Times New Roman" w:hAnsi="Times New Roman" w:cs="Times New Roman"/>
          <w:sz w:val="24"/>
          <w:szCs w:val="24"/>
        </w:rPr>
        <w:t xml:space="preserve">) jest kwalifikowalny w przypadku, gdy szkolenie jest organizowane przez beneficjenta i materiały te są niezbędne </w:t>
      </w:r>
      <w:r>
        <w:rPr>
          <w:rFonts w:ascii="Times New Roman" w:hAnsi="Times New Roman" w:cs="Times New Roman"/>
          <w:sz w:val="24"/>
          <w:szCs w:val="24"/>
        </w:rPr>
        <w:br/>
        <w:t>do przeprowadzenia szkolenia.</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Zakup materiałów szkoleniowych jest niekwalifikowalny w przypadku, gdy pracownik uczestniczy w indywidualnych f</w:t>
      </w:r>
      <w:r>
        <w:rPr>
          <w:rFonts w:ascii="Times New Roman" w:hAnsi="Times New Roman" w:cs="Times New Roman"/>
          <w:sz w:val="24"/>
          <w:szCs w:val="24"/>
        </w:rPr>
        <w:t>ormach kształcenia (np. kursy językowe, studia podyplomowe) i na własne potrzeby planuje zakupić dodatkowe materiały szkoleniowe.</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Wydatki związane z formami szkoleniowymi, w których ostatecznie pracownik nie uczestniczył, stanowią wydatek niekwalifikowalny</w:t>
      </w:r>
      <w:r>
        <w:rPr>
          <w:rFonts w:ascii="Times New Roman" w:hAnsi="Times New Roman" w:cs="Times New Roman"/>
          <w:sz w:val="24"/>
          <w:szCs w:val="24"/>
        </w:rPr>
        <w:t xml:space="preserve"> w ramach projektów pomocy technicznej.</w:t>
      </w:r>
    </w:p>
    <w:p w:rsidR="003B68F1" w:rsidRDefault="003B68F1">
      <w:pPr>
        <w:tabs>
          <w:tab w:val="left" w:pos="4820"/>
          <w:tab w:val="right" w:pos="9072"/>
        </w:tabs>
        <w:spacing w:before="60" w:after="60"/>
        <w:jc w:val="both"/>
        <w:rPr>
          <w:rFonts w:ascii="Times New Roman" w:hAnsi="Times New Roman" w:cs="Times New Roman"/>
          <w:bCs/>
          <w:i/>
          <w:sz w:val="24"/>
          <w:szCs w:val="24"/>
        </w:rPr>
      </w:pPr>
    </w:p>
    <w:p w:rsidR="003B68F1" w:rsidRDefault="00511C98">
      <w:pPr>
        <w:tabs>
          <w:tab w:val="left" w:pos="4820"/>
          <w:tab w:val="right" w:pos="9072"/>
        </w:tabs>
        <w:spacing w:before="60" w:after="60"/>
        <w:jc w:val="both"/>
        <w:rPr>
          <w:rFonts w:ascii="Times New Roman" w:hAnsi="Times New Roman" w:cs="Times New Roman"/>
          <w:b/>
          <w:bCs/>
          <w:i/>
          <w:sz w:val="24"/>
          <w:szCs w:val="24"/>
        </w:rPr>
      </w:pPr>
      <w:r>
        <w:rPr>
          <w:rFonts w:ascii="Times New Roman" w:hAnsi="Times New Roman" w:cs="Times New Roman"/>
          <w:b/>
          <w:bCs/>
          <w:i/>
          <w:sz w:val="24"/>
          <w:szCs w:val="24"/>
        </w:rPr>
        <w:t>Przykład 1</w:t>
      </w:r>
    </w:p>
    <w:p w:rsidR="003B68F1" w:rsidRDefault="00511C98">
      <w:pPr>
        <w:tabs>
          <w:tab w:val="left" w:pos="4820"/>
          <w:tab w:val="right" w:pos="9072"/>
        </w:tabs>
        <w:spacing w:before="60" w:after="60"/>
        <w:jc w:val="both"/>
        <w:rPr>
          <w:rFonts w:ascii="Times New Roman" w:hAnsi="Times New Roman" w:cs="Times New Roman"/>
          <w:i/>
          <w:sz w:val="24"/>
          <w:szCs w:val="24"/>
        </w:rPr>
      </w:pPr>
      <w:r>
        <w:rPr>
          <w:rFonts w:ascii="Times New Roman" w:hAnsi="Times New Roman" w:cs="Times New Roman"/>
          <w:bCs/>
          <w:i/>
          <w:sz w:val="24"/>
          <w:szCs w:val="24"/>
        </w:rPr>
        <w:t>Pracownik zatrudniony na czas określony (do dnia 08.08.2017 r.) i zaangażowany w PROW 2014-2020 w 50 % zostaje wydelegowany na kurs językowy.</w:t>
      </w:r>
    </w:p>
    <w:p w:rsidR="003B68F1" w:rsidRDefault="00511C98">
      <w:pPr>
        <w:tabs>
          <w:tab w:val="left" w:pos="4820"/>
          <w:tab w:val="right" w:pos="9072"/>
        </w:tabs>
        <w:spacing w:before="60" w:after="60"/>
        <w:jc w:val="both"/>
        <w:rPr>
          <w:rFonts w:ascii="Times New Roman" w:hAnsi="Times New Roman" w:cs="Times New Roman"/>
          <w:i/>
          <w:sz w:val="24"/>
          <w:szCs w:val="24"/>
        </w:rPr>
      </w:pPr>
      <w:r>
        <w:rPr>
          <w:rFonts w:ascii="Times New Roman" w:hAnsi="Times New Roman" w:cs="Times New Roman"/>
          <w:i/>
          <w:sz w:val="24"/>
          <w:szCs w:val="24"/>
        </w:rPr>
        <w:t>W związku z faktem, iż pracownik jest zatrudniony na czas okre</w:t>
      </w:r>
      <w:r>
        <w:rPr>
          <w:rFonts w:ascii="Times New Roman" w:hAnsi="Times New Roman" w:cs="Times New Roman"/>
          <w:i/>
          <w:sz w:val="24"/>
          <w:szCs w:val="24"/>
        </w:rPr>
        <w:t xml:space="preserve">ślony, a kursy językowe charakteryzują się tym, że wiedza zdobywana podczas kursu będzie wykorzystywana </w:t>
      </w:r>
      <w:r>
        <w:rPr>
          <w:rFonts w:ascii="Times New Roman" w:hAnsi="Times New Roman" w:cs="Times New Roman"/>
          <w:i/>
          <w:sz w:val="24"/>
          <w:szCs w:val="24"/>
        </w:rPr>
        <w:br/>
        <w:t>w dłuższej perspektywie, nie wydaje się zasadne sfinansowanie kosztów kursu językowego dla osoby, która jest zatrudniona na czas określony.</w:t>
      </w:r>
    </w:p>
    <w:p w:rsidR="003B68F1" w:rsidRDefault="00511C98">
      <w:pPr>
        <w:tabs>
          <w:tab w:val="left" w:pos="4820"/>
          <w:tab w:val="right" w:pos="9072"/>
        </w:tabs>
        <w:spacing w:before="60" w:after="60"/>
        <w:jc w:val="both"/>
        <w:rPr>
          <w:rFonts w:ascii="Times New Roman" w:hAnsi="Times New Roman" w:cs="Times New Roman"/>
          <w:b/>
          <w:i/>
          <w:sz w:val="24"/>
          <w:szCs w:val="24"/>
        </w:rPr>
      </w:pPr>
      <w:r>
        <w:rPr>
          <w:rFonts w:ascii="Times New Roman" w:hAnsi="Times New Roman" w:cs="Times New Roman"/>
          <w:b/>
          <w:i/>
          <w:sz w:val="24"/>
          <w:szCs w:val="24"/>
        </w:rPr>
        <w:t xml:space="preserve">Przykład 2 </w:t>
      </w:r>
    </w:p>
    <w:p w:rsidR="003B68F1" w:rsidRDefault="00511C98">
      <w:pPr>
        <w:tabs>
          <w:tab w:val="left" w:pos="4820"/>
          <w:tab w:val="right" w:pos="9072"/>
        </w:tabs>
        <w:spacing w:before="60" w:after="60"/>
        <w:jc w:val="both"/>
        <w:rPr>
          <w:rFonts w:ascii="Times New Roman" w:hAnsi="Times New Roman" w:cs="Times New Roman"/>
          <w:i/>
          <w:sz w:val="24"/>
          <w:szCs w:val="24"/>
        </w:rPr>
      </w:pPr>
      <w:r>
        <w:rPr>
          <w:rFonts w:ascii="Times New Roman" w:hAnsi="Times New Roman" w:cs="Times New Roman"/>
          <w:bCs/>
          <w:i/>
          <w:sz w:val="24"/>
          <w:szCs w:val="24"/>
        </w:rPr>
        <w:t xml:space="preserve">Pracownik zatrudniony na czas określony (umowa na zastępstwo do dnia 01.01.2019 r.) </w:t>
      </w:r>
      <w:r>
        <w:rPr>
          <w:rFonts w:ascii="Times New Roman" w:hAnsi="Times New Roman" w:cs="Times New Roman"/>
          <w:bCs/>
          <w:i/>
          <w:sz w:val="24"/>
          <w:szCs w:val="24"/>
        </w:rPr>
        <w:br/>
        <w:t>i zaangażowany w PROW 2014-2020 w 50 % zostaje wydelegowany na szkolenie pn. „Zamówienia publiczne w funduszach europejskich”, wpisujące się w zakres opisu stanowiska pra</w:t>
      </w:r>
      <w:r>
        <w:rPr>
          <w:rFonts w:ascii="Times New Roman" w:hAnsi="Times New Roman" w:cs="Times New Roman"/>
          <w:bCs/>
          <w:i/>
          <w:sz w:val="24"/>
          <w:szCs w:val="24"/>
        </w:rPr>
        <w:t>cy.</w:t>
      </w:r>
    </w:p>
    <w:p w:rsidR="003B68F1" w:rsidRDefault="00511C98">
      <w:pPr>
        <w:tabs>
          <w:tab w:val="left" w:pos="4820"/>
          <w:tab w:val="right" w:pos="9072"/>
        </w:tabs>
        <w:spacing w:before="60" w:after="60"/>
        <w:jc w:val="both"/>
        <w:rPr>
          <w:rFonts w:ascii="Times New Roman" w:hAnsi="Times New Roman" w:cs="Times New Roman"/>
          <w:i/>
          <w:sz w:val="24"/>
          <w:szCs w:val="24"/>
        </w:rPr>
      </w:pPr>
      <w:r>
        <w:rPr>
          <w:rFonts w:ascii="Times New Roman" w:hAnsi="Times New Roman" w:cs="Times New Roman"/>
          <w:bCs/>
          <w:i/>
          <w:sz w:val="24"/>
          <w:szCs w:val="24"/>
        </w:rPr>
        <w:t xml:space="preserve">W przedmiotowym przypadku tematyka jest ściśle związana z zadaniami kwalifikowalnymi, </w:t>
      </w:r>
      <w:r>
        <w:rPr>
          <w:rFonts w:ascii="Times New Roman" w:hAnsi="Times New Roman" w:cs="Times New Roman"/>
          <w:bCs/>
          <w:i/>
          <w:sz w:val="24"/>
          <w:szCs w:val="24"/>
        </w:rPr>
        <w:br/>
        <w:t>a zdobyte dzięki nim umiejętności i wiedza będą mogły być wykorzystane wyłącznie przy wykonywaniu zadań kwalifikowalnych. W</w:t>
      </w:r>
      <w:r>
        <w:rPr>
          <w:rFonts w:ascii="Times New Roman" w:hAnsi="Times New Roman" w:cs="Times New Roman"/>
          <w:i/>
          <w:sz w:val="24"/>
          <w:szCs w:val="24"/>
        </w:rPr>
        <w:t xml:space="preserve"> związku z powyższym przedmiotowe szkoleni</w:t>
      </w:r>
      <w:r>
        <w:rPr>
          <w:rFonts w:ascii="Times New Roman" w:hAnsi="Times New Roman" w:cs="Times New Roman"/>
          <w:i/>
          <w:sz w:val="24"/>
          <w:szCs w:val="24"/>
        </w:rPr>
        <w:t xml:space="preserve">e jest kwalifikowalne w 100 % ze środków PT.  </w:t>
      </w:r>
    </w:p>
    <w:p w:rsidR="003B68F1" w:rsidRDefault="003B68F1">
      <w:pPr>
        <w:tabs>
          <w:tab w:val="left" w:pos="4820"/>
          <w:tab w:val="right" w:pos="9072"/>
        </w:tabs>
        <w:spacing w:before="60" w:after="60"/>
        <w:jc w:val="both"/>
        <w:rPr>
          <w:rFonts w:ascii="Times New Roman" w:hAnsi="Times New Roman" w:cs="Times New Roman"/>
          <w:i/>
          <w:sz w:val="24"/>
          <w:szCs w:val="24"/>
        </w:rPr>
      </w:pPr>
    </w:p>
    <w:p w:rsidR="003B68F1" w:rsidRDefault="00511C98">
      <w:pPr>
        <w:pStyle w:val="Akapitzlist"/>
        <w:numPr>
          <w:ilvl w:val="0"/>
          <w:numId w:val="26"/>
        </w:numPr>
        <w:spacing w:before="60" w:after="60"/>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Dostawy i usługi </w:t>
      </w:r>
    </w:p>
    <w:p w:rsidR="003B68F1" w:rsidRDefault="00511C98">
      <w:pPr>
        <w:pStyle w:val="USTustnpkodeksu"/>
        <w:spacing w:before="60" w:after="60" w:line="276" w:lineRule="auto"/>
        <w:ind w:firstLine="0"/>
        <w:rPr>
          <w:rFonts w:ascii="Times New Roman" w:hAnsi="Times New Roman" w:cs="Times New Roman"/>
          <w:szCs w:val="24"/>
        </w:rPr>
      </w:pPr>
      <w:r>
        <w:rPr>
          <w:rFonts w:ascii="Times New Roman" w:hAnsi="Times New Roman" w:cs="Times New Roman"/>
          <w:szCs w:val="24"/>
        </w:rPr>
        <w:t>Wszelkie koszty wchodzące w skład dostaw i usług mogą być uznane za kwalifikowalne, jeżeli pracownik wykonywał zadania kwalifikowalne przez co najmniej 50% swojego czasu pracy w danym miesiącu, przy czym kwota kwalifikowalna określana jest zgodnie z zasadą</w:t>
      </w:r>
      <w:r>
        <w:rPr>
          <w:rFonts w:ascii="Times New Roman" w:hAnsi="Times New Roman" w:cs="Times New Roman"/>
          <w:szCs w:val="24"/>
        </w:rPr>
        <w:t xml:space="preserve"> proporcjonalności.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Zasada, zgodnie z którą wymagane jest minimum 50% zaangażowania pracownika </w:t>
      </w:r>
      <w:r>
        <w:rPr>
          <w:rFonts w:ascii="Times New Roman" w:hAnsi="Times New Roman" w:cs="Times New Roman"/>
          <w:sz w:val="24"/>
          <w:szCs w:val="24"/>
        </w:rPr>
        <w:br/>
      </w:r>
      <w:r>
        <w:rPr>
          <w:rFonts w:ascii="Times New Roman" w:hAnsi="Times New Roman" w:cs="Times New Roman"/>
          <w:sz w:val="24"/>
          <w:szCs w:val="24"/>
        </w:rPr>
        <w:t>w realizację zadań kwalifikowanych, nie dotyczy kosztów poniesionych przez podmiot uprawniony przed wejściem w życie rozporządzenia o PT, tj. przed dniem 5 października 2016 r. Niemniej w okresie tym obowiązuje wymóg kwalifikowalności na poziomie równym pr</w:t>
      </w:r>
      <w:r>
        <w:rPr>
          <w:rFonts w:ascii="Times New Roman" w:hAnsi="Times New Roman" w:cs="Times New Roman"/>
          <w:sz w:val="24"/>
          <w:szCs w:val="24"/>
        </w:rPr>
        <w:t xml:space="preserve">ocentowemu zaangażowaniu pracownika. </w:t>
      </w:r>
    </w:p>
    <w:p w:rsidR="003B68F1" w:rsidRDefault="00511C98">
      <w:pPr>
        <w:spacing w:after="0"/>
        <w:jc w:val="both"/>
        <w:rPr>
          <w:rFonts w:ascii="Times New Roman" w:hAnsi="Times New Roman" w:cs="Times New Roman"/>
          <w:sz w:val="24"/>
          <w:szCs w:val="24"/>
        </w:rPr>
      </w:pPr>
      <w:r>
        <w:rPr>
          <w:rFonts w:ascii="Times New Roman" w:hAnsi="Times New Roman" w:cs="Times New Roman"/>
          <w:sz w:val="24"/>
          <w:szCs w:val="24"/>
        </w:rPr>
        <w:t xml:space="preserve">Koszty świadczeń pieniężnych przyznanych pracownikowi z tytułu samodzielnego podnoszenia kwalifikacji mogą być uznane za kwalifikowalne, jeżeli pracownik wykonywał </w:t>
      </w:r>
      <w:r>
        <w:rPr>
          <w:rFonts w:ascii="Times New Roman" w:hAnsi="Times New Roman" w:cs="Times New Roman"/>
          <w:sz w:val="24"/>
          <w:szCs w:val="24"/>
        </w:rPr>
        <w:lastRenderedPageBreak/>
        <w:t>zadania kwalifikowalne przez co najmniej 50% swojego c</w:t>
      </w:r>
      <w:r>
        <w:rPr>
          <w:rFonts w:ascii="Times New Roman" w:hAnsi="Times New Roman" w:cs="Times New Roman"/>
          <w:sz w:val="24"/>
          <w:szCs w:val="24"/>
        </w:rPr>
        <w:t xml:space="preserve">zasu pracy w danym miesiącu, przy czym kwota kwalifikowalna określana jest zgodnie z zasadą proporcjonalności. </w:t>
      </w:r>
    </w:p>
    <w:p w:rsidR="003B68F1" w:rsidRDefault="00511C98">
      <w:pPr>
        <w:pStyle w:val="USTustnpkodeksu"/>
        <w:spacing w:line="276" w:lineRule="auto"/>
        <w:ind w:firstLine="0"/>
        <w:rPr>
          <w:rFonts w:ascii="Times New Roman" w:eastAsia="Times New Roman" w:hAnsi="Times New Roman" w:cs="Times New Roman"/>
          <w:szCs w:val="24"/>
        </w:rPr>
      </w:pPr>
      <w:r>
        <w:rPr>
          <w:rFonts w:ascii="Times New Roman" w:hAnsi="Times New Roman" w:cs="Times New Roman"/>
          <w:szCs w:val="24"/>
        </w:rPr>
        <w:t>Ponadto, w zakres kategorii kosztów dostaw i usług, wpisują się</w:t>
      </w:r>
      <w:r>
        <w:rPr>
          <w:rFonts w:ascii="Times New Roman" w:eastAsia="Times New Roman" w:hAnsi="Times New Roman" w:cs="Times New Roman"/>
          <w:szCs w:val="24"/>
        </w:rPr>
        <w:t xml:space="preserve"> usług</w:t>
      </w:r>
      <w:r>
        <w:rPr>
          <w:rFonts w:ascii="Times New Roman" w:hAnsi="Times New Roman" w:cs="Times New Roman"/>
          <w:szCs w:val="24"/>
        </w:rPr>
        <w:t>i nabywane</w:t>
      </w:r>
      <w:r>
        <w:rPr>
          <w:rFonts w:ascii="Times New Roman" w:eastAsia="Times New Roman" w:hAnsi="Times New Roman" w:cs="Times New Roman"/>
          <w:szCs w:val="24"/>
        </w:rPr>
        <w:t xml:space="preserve"> w celu podnoszenia kwalifikacji zawodowych pracownika podmiotu u</w:t>
      </w:r>
      <w:r>
        <w:rPr>
          <w:rFonts w:ascii="Times New Roman" w:eastAsia="Times New Roman" w:hAnsi="Times New Roman" w:cs="Times New Roman"/>
          <w:szCs w:val="24"/>
        </w:rPr>
        <w:t xml:space="preserve">prawnionego. W odróżnieniu </w:t>
      </w:r>
      <w:r>
        <w:rPr>
          <w:rFonts w:ascii="Times New Roman" w:hAnsi="Times New Roman" w:cs="Times New Roman"/>
          <w:szCs w:val="24"/>
        </w:rPr>
        <w:t>od świadczenia pieniężnego przyznanego pracownikowi (o którym mowa w pkt 2)</w:t>
      </w:r>
      <w:r>
        <w:rPr>
          <w:rFonts w:ascii="Times New Roman" w:eastAsia="Times New Roman" w:hAnsi="Times New Roman" w:cs="Times New Roman"/>
          <w:szCs w:val="24"/>
        </w:rPr>
        <w:t>, w tym przypadku to podmiot uprawniony kupuje na rynku usługę w postaci kursu, szkolenia lub innej formy kształcenia, która jest świadczona jego pracowni</w:t>
      </w:r>
      <w:r>
        <w:rPr>
          <w:rFonts w:ascii="Times New Roman" w:eastAsia="Times New Roman" w:hAnsi="Times New Roman" w:cs="Times New Roman"/>
          <w:szCs w:val="24"/>
        </w:rPr>
        <w:t xml:space="preserve">kom w celu podniesienia ich kwalifikacji zawodowych.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Odstępstwo od zasady proporcjonalności może nastąpić w przypadku, gdy usługi nabywane w celu podnoszenia kwalifikacji zawodowych pracownika (szkolenie, kurs itd.) obejmują tematykę związaną wyłącznie z </w:t>
      </w:r>
      <w:r>
        <w:rPr>
          <w:rFonts w:ascii="Times New Roman" w:hAnsi="Times New Roman" w:cs="Times New Roman"/>
          <w:sz w:val="24"/>
          <w:szCs w:val="24"/>
        </w:rPr>
        <w:t>realizacją zadań kwalifikowalnych, a zdobyte umiejętności oraz wiedza będą mogły być wykorzystane wyłącznie przy wykonywaniu tych zadań. Wówczas istnieje możliwość kwalifikowania kosztów w 100 %.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Przykładem umiejętności i wiedzy, które nie są wykorzystywa</w:t>
      </w:r>
      <w:r>
        <w:rPr>
          <w:rFonts w:ascii="Times New Roman" w:hAnsi="Times New Roman" w:cs="Times New Roman"/>
          <w:sz w:val="24"/>
          <w:szCs w:val="24"/>
        </w:rPr>
        <w:t>ne wyłącznie przy wykonywaniu zadań kwalifikowalnych, są kursy i szkolenia w zakresie umiejętności i wiedzy ogólnej (dotyczy to m.in. kursów i szkoleń językowych, z umiejętności interpersonalnych, z umiejętności negocjacji, zarządzania stresem, zarządzania</w:t>
      </w:r>
      <w:r>
        <w:rPr>
          <w:rFonts w:ascii="Times New Roman" w:hAnsi="Times New Roman" w:cs="Times New Roman"/>
          <w:sz w:val="24"/>
          <w:szCs w:val="24"/>
        </w:rPr>
        <w:t xml:space="preserve"> czasem, autoprezentacji, w zakresie posługiwania się ogólnymi narzędziami informatycznymi). </w:t>
      </w:r>
    </w:p>
    <w:p w:rsidR="003B68F1" w:rsidRDefault="003B68F1">
      <w:pPr>
        <w:spacing w:before="60" w:after="60"/>
        <w:jc w:val="both"/>
        <w:rPr>
          <w:rFonts w:ascii="Times New Roman" w:hAnsi="Times New Roman" w:cs="Times New Roman"/>
          <w:sz w:val="24"/>
          <w:szCs w:val="24"/>
        </w:rPr>
      </w:pPr>
    </w:p>
    <w:p w:rsidR="003B68F1" w:rsidRDefault="00511C98">
      <w:pPr>
        <w:pStyle w:val="USTustnpkodeksu"/>
        <w:spacing w:before="60" w:after="60" w:line="276" w:lineRule="auto"/>
        <w:ind w:firstLine="0"/>
        <w:rPr>
          <w:rFonts w:ascii="Times New Roman" w:hAnsi="Times New Roman" w:cs="Times New Roman"/>
          <w:b/>
          <w:szCs w:val="24"/>
        </w:rPr>
      </w:pPr>
      <w:r>
        <w:rPr>
          <w:rFonts w:ascii="Times New Roman" w:hAnsi="Times New Roman" w:cs="Times New Roman"/>
          <w:b/>
          <w:szCs w:val="24"/>
        </w:rPr>
        <w:t>3.1.Katalog kosztów kwalifikowalnych obejmuje w szczególności:</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 zakup i instalację sprzętu komputerowego i oprogramowania;</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 konserwację, utrzymanie oraz naprawę </w:t>
      </w:r>
      <w:r>
        <w:rPr>
          <w:rFonts w:ascii="Times New Roman" w:hAnsi="Times New Roman" w:cs="Times New Roman"/>
          <w:sz w:val="24"/>
          <w:szCs w:val="24"/>
        </w:rPr>
        <w:t>sprzętu i wyposażenia;</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 zakup mebli i artykułów biurowych. W sytuacji organizowania szkoleń, konferencji, spotkań, komitetów itp., na które zostały zakupione materiały biurowe, gdy faktyczna liczba uczestników, która wzięła udział w wydarzeniu, jest mniejs</w:t>
      </w:r>
      <w:r>
        <w:rPr>
          <w:rFonts w:ascii="Times New Roman" w:hAnsi="Times New Roman" w:cs="Times New Roman"/>
          <w:sz w:val="24"/>
          <w:szCs w:val="24"/>
        </w:rPr>
        <w:t>za o nie więcej niż 15% liczby uczestników deklarujących swój udział (przy dochowaniu należytej staranności przez organizatora wydarzenia na etapie jego planowania i rekrutacji uczestników), wówczas za koszt kwalifikowalny uznaje się koszt zakupu materiałó</w:t>
      </w:r>
      <w:r>
        <w:rPr>
          <w:rFonts w:ascii="Times New Roman" w:hAnsi="Times New Roman" w:cs="Times New Roman"/>
          <w:sz w:val="24"/>
          <w:szCs w:val="24"/>
        </w:rPr>
        <w:t xml:space="preserve">w biurowych w całości wynikający z deklarowanego udziału na podstawie wystawionej i opłaconej faktury lub równoważnego dokumentu.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uczestników</w:t>
      </w:r>
      <w:r>
        <w:rPr>
          <w:rFonts w:ascii="Times New Roman" w:hAnsi="Times New Roman" w:cs="Times New Roman"/>
          <w:sz w:val="24"/>
          <w:szCs w:val="24"/>
        </w:rPr>
        <w:t>, która nie wzięła udziału w wydarzeniu, jest mniejsza o nie więcej niż 15% (wynosi 13%) liczby uczestników deklarujących swój udział. Zatem koszt zakupu materiałów biurowych dla 100 osób, wynikający z wystawionej i opłaconej faktury / równoważnego dokumen</w:t>
      </w:r>
      <w:r>
        <w:rPr>
          <w:rFonts w:ascii="Times New Roman" w:hAnsi="Times New Roman" w:cs="Times New Roman"/>
          <w:sz w:val="24"/>
          <w:szCs w:val="24"/>
        </w:rPr>
        <w:t>tu, jest kwalifikowalny w 100%.</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83 osoby. Zatem faktyczna liczba uczestników, która nie wzięła udziału w wydarzeniu, jest większa od 15% (wynosi 17%) liczby uczestników dekla</w:t>
      </w:r>
      <w:r>
        <w:rPr>
          <w:rFonts w:ascii="Times New Roman" w:hAnsi="Times New Roman" w:cs="Times New Roman"/>
          <w:sz w:val="24"/>
          <w:szCs w:val="24"/>
        </w:rPr>
        <w:t>rujących swój udział. Zatem koszt zakupu materiałów biurowych dla 100 osób, wynikający z wystawionej i opłaconej faktury / równoważnego dokumentu, powinien być pomniejszony o koszt dot. 2 osób (100 – 15 [dopuszczalny limit] – 83);</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zakup certyfikowanych zes</w:t>
      </w:r>
      <w:r>
        <w:rPr>
          <w:rFonts w:ascii="Times New Roman" w:hAnsi="Times New Roman" w:cs="Times New Roman"/>
          <w:sz w:val="24"/>
          <w:szCs w:val="24"/>
        </w:rPr>
        <w:t>tawów do podpisu elektronicznego wraz z usługą ich odnowienia;</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najmu i utrzymania pomieszczeń takich jak: pokoje biurowe, pokoje socjalne, korytarze, sanitariaty, serwerownie i centrale telekomunikacyjne oraz  sale konferencyjne (m.in. koszty centra</w:t>
      </w:r>
      <w:r>
        <w:rPr>
          <w:rFonts w:ascii="Times New Roman" w:hAnsi="Times New Roman" w:cs="Times New Roman"/>
          <w:sz w:val="24"/>
          <w:szCs w:val="24"/>
        </w:rPr>
        <w:t>lnego ogrzewania, energii elektrycznej, dostarczenia wody i odprowadzenia ścieków, sprzątania pomieszczeń i ochrony obiektu oraz konserwacji wind osobowych);</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usług pocztowych oraz kurierskich;</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prowizji/opłat bankowych;</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opłat manipulacy</w:t>
      </w:r>
      <w:r>
        <w:rPr>
          <w:rFonts w:ascii="Times New Roman" w:hAnsi="Times New Roman" w:cs="Times New Roman"/>
          <w:sz w:val="24"/>
          <w:szCs w:val="24"/>
        </w:rPr>
        <w:t>jnych (np. dopłata za bilet kolejowy u konduktora, opłata za zmianę rezerwacji biletu lotniczego itp.) mogą być uznane za kwalifikowalne jedynie w uzasadnionych okolicznościach;</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rozmów telefonicznych;</w:t>
      </w:r>
    </w:p>
    <w:p w:rsidR="003B68F1" w:rsidRDefault="00511C98">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związane z użytkowaniem Internetu;</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zakup </w:t>
      </w:r>
      <w:r>
        <w:rPr>
          <w:rFonts w:ascii="Times New Roman" w:hAnsi="Times New Roman" w:cs="Times New Roman"/>
          <w:sz w:val="24"/>
          <w:szCs w:val="24"/>
        </w:rPr>
        <w:t>usług telekomunikacyjnych, w tym zakup telefonów i opłaty abonamentowe;</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opracowania ekspertyz, analiz oraz materiałów związanych </w:t>
      </w:r>
      <w:r>
        <w:rPr>
          <w:rFonts w:ascii="Times New Roman" w:hAnsi="Times New Roman" w:cs="Times New Roman"/>
          <w:sz w:val="24"/>
          <w:szCs w:val="24"/>
        </w:rPr>
        <w:br/>
        <w:t>z funkcjonowaniem KM lub jego grup roboczych;</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związane z usługami nabywanymi w celu podnoszenia kwalifikacji </w:t>
      </w:r>
      <w:r>
        <w:rPr>
          <w:rFonts w:ascii="Times New Roman" w:hAnsi="Times New Roman" w:cs="Times New Roman"/>
          <w:sz w:val="24"/>
          <w:szCs w:val="24"/>
        </w:rPr>
        <w:t>zawodowych pracownika podmiotu uprawnionego;</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tłumaczenia oraz weryfikacja tłumaczeń;</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usług kserograficznych;</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wynajęcie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sprzętu multimedialnego i nagłośnienia;</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zakup zbiorów i baz danych na potrzeby sporządzania badań, ewaluacji, eksperty</w:t>
      </w:r>
      <w:r>
        <w:rPr>
          <w:rFonts w:ascii="Times New Roman" w:hAnsi="Times New Roman" w:cs="Times New Roman"/>
          <w:sz w:val="24"/>
          <w:szCs w:val="24"/>
        </w:rPr>
        <w:t>z i opinii;</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wynajem długoterminowy lub leasing środków transportu, z wyjątkiem leasingu związanego z umową leasingu środków transportu, zakończonego przeniesieniem prawa własności tych środków  transportu;</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niezbędne naprawy, przegląd techniczny, ubezpieczenie, serwis, zakup paliwa </w:t>
      </w:r>
      <w:r>
        <w:rPr>
          <w:rFonts w:ascii="Times New Roman" w:hAnsi="Times New Roman" w:cs="Times New Roman"/>
          <w:sz w:val="24"/>
          <w:szCs w:val="24"/>
        </w:rPr>
        <w:br/>
        <w:t>i utrzymanie środków transportu oraz opłaty autostradowe;</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zakup publikacji książkowych o tematyce specjalistycznej związanej </w:t>
      </w:r>
      <w:r>
        <w:rPr>
          <w:rFonts w:ascii="Times New Roman" w:hAnsi="Times New Roman" w:cs="Times New Roman"/>
          <w:sz w:val="24"/>
          <w:szCs w:val="24"/>
        </w:rPr>
        <w:br/>
        <w:t>z realizacją zadań kwalifikowalnych oraz prasy o taki</w:t>
      </w:r>
      <w:r>
        <w:rPr>
          <w:rFonts w:ascii="Times New Roman" w:hAnsi="Times New Roman" w:cs="Times New Roman"/>
          <w:sz w:val="24"/>
          <w:szCs w:val="24"/>
        </w:rPr>
        <w:t>ej tematyce;</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związane z przechowywaniem oraz archiwizacją dokumentów;</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zakup aparatury, sprzętu laboratoryjnego i wyposażenia niezbędnego </w:t>
      </w:r>
      <w:r>
        <w:rPr>
          <w:rFonts w:ascii="Times New Roman" w:hAnsi="Times New Roman" w:cs="Times New Roman"/>
          <w:sz w:val="24"/>
          <w:szCs w:val="24"/>
        </w:rPr>
        <w:br/>
        <w:t>do  wykonywania prac, o których mowa w art. 32 oraz art. 68 lit. a  rozporządzenia nr  1305/2013;</w:t>
      </w:r>
    </w:p>
    <w:p w:rsidR="003B68F1" w:rsidRDefault="00511C98">
      <w:pPr>
        <w:pStyle w:val="Akapitzlist"/>
        <w:numPr>
          <w:ilvl w:val="0"/>
          <w:numId w:val="14"/>
        </w:numPr>
        <w:spacing w:before="60" w:after="60"/>
        <w:jc w:val="both"/>
        <w:rPr>
          <w:sz w:val="24"/>
          <w:szCs w:val="24"/>
        </w:rPr>
      </w:pPr>
      <w:r>
        <w:rPr>
          <w:rFonts w:ascii="Times New Roman" w:hAnsi="Times New Roman" w:cs="Times New Roman"/>
          <w:sz w:val="24"/>
          <w:szCs w:val="24"/>
        </w:rPr>
        <w:t>koszty wyżywi</w:t>
      </w:r>
      <w:r>
        <w:rPr>
          <w:rFonts w:ascii="Times New Roman" w:hAnsi="Times New Roman" w:cs="Times New Roman"/>
          <w:sz w:val="24"/>
          <w:szCs w:val="24"/>
        </w:rPr>
        <w:t xml:space="preserve">enia (np. catering lub zakup artykułów spożywczych) niezbędne </w:t>
      </w:r>
      <w:r>
        <w:rPr>
          <w:rFonts w:ascii="Times New Roman" w:hAnsi="Times New Roman" w:cs="Times New Roman"/>
          <w:sz w:val="24"/>
          <w:szCs w:val="24"/>
        </w:rPr>
        <w:br/>
        <w:t>do przygotowania poczęstunku w przypadku organizowania szkoleń, konferencji, spotkań, komitetów itp. W przypadku gdy faktyczna liczba uczestników, która wzięła udział w wydarzeniu, jest mniejsz</w:t>
      </w:r>
      <w:r>
        <w:rPr>
          <w:rFonts w:ascii="Times New Roman" w:hAnsi="Times New Roman" w:cs="Times New Roman"/>
          <w:sz w:val="24"/>
          <w:szCs w:val="24"/>
        </w:rPr>
        <w:t xml:space="preserve">a o nie więcej niż 15% liczby uczestników deklarujących swój udział (przy dochowaniu należytej staranności przez organizatora wydarzenia na etapie jego planowania i rekrutacji uczestników), wówczas za koszt kwalifikowalny uznaje się koszt usługi </w:t>
      </w:r>
      <w:r>
        <w:rPr>
          <w:rFonts w:ascii="Times New Roman" w:hAnsi="Times New Roman" w:cs="Times New Roman"/>
          <w:sz w:val="24"/>
          <w:szCs w:val="24"/>
        </w:rPr>
        <w:lastRenderedPageBreak/>
        <w:t>cateringow</w:t>
      </w:r>
      <w:r>
        <w:rPr>
          <w:rFonts w:ascii="Times New Roman" w:hAnsi="Times New Roman" w:cs="Times New Roman"/>
          <w:sz w:val="24"/>
          <w:szCs w:val="24"/>
        </w:rPr>
        <w:t xml:space="preserve">ej w całości wynikający z deklarowanego udziału, na podstawie wystawionej i opłaconej faktury lub równoważnego dokumentu </w:t>
      </w:r>
    </w:p>
    <w:p w:rsidR="003B68F1" w:rsidRDefault="00511C98">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W wydarzeniu udział zadeklarowało 100 osób, a faktycznie udział wzięło 87 osób. Zatem faktyczna liczba uczestników, która n</w:t>
      </w:r>
      <w:r>
        <w:rPr>
          <w:rFonts w:ascii="Times New Roman" w:hAnsi="Times New Roman" w:cs="Times New Roman"/>
          <w:sz w:val="24"/>
          <w:szCs w:val="24"/>
        </w:rPr>
        <w:t>ie wzięła udziału w wydarzeniu, jest mniejsza o nie więcej niż 15% (wynosi 13%) liczby uczestników deklarujących swój udział. Zatem koszt cateringu dla 100 osób, wynikający z wystawionej i opłaconej faktury / równoważnego dokumentu, jest kwalifikowalny w 1</w:t>
      </w:r>
      <w:r>
        <w:rPr>
          <w:rFonts w:ascii="Times New Roman" w:hAnsi="Times New Roman" w:cs="Times New Roman"/>
          <w:sz w:val="24"/>
          <w:szCs w:val="24"/>
        </w:rPr>
        <w:t>00%.</w:t>
      </w:r>
    </w:p>
    <w:p w:rsidR="003B68F1" w:rsidRDefault="00511C98">
      <w:pPr>
        <w:spacing w:before="60" w:after="60"/>
        <w:ind w:left="708"/>
        <w:jc w:val="both"/>
        <w:rPr>
          <w:rFonts w:ascii="Times New Roman" w:hAnsi="Times New Roman" w:cs="Times New Roman"/>
          <w:b/>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 xml:space="preserve">W wydarzeniu udział zadeklarowało 100 osób, a faktycznie udział wzięły  83 osoby. Zatem faktyczna liczba uczestników, która nie wzięła udziału </w:t>
      </w:r>
      <w:r>
        <w:rPr>
          <w:rFonts w:ascii="Times New Roman" w:hAnsi="Times New Roman" w:cs="Times New Roman"/>
          <w:sz w:val="24"/>
          <w:szCs w:val="24"/>
        </w:rPr>
        <w:br/>
        <w:t>w wydarzeniu, jest większa od 15% (wynosi 17%) liczby uczestników deklarujących swój udział. Zat</w:t>
      </w:r>
      <w:r>
        <w:rPr>
          <w:rFonts w:ascii="Times New Roman" w:hAnsi="Times New Roman" w:cs="Times New Roman"/>
          <w:sz w:val="24"/>
          <w:szCs w:val="24"/>
        </w:rPr>
        <w:t xml:space="preserve">em koszt cateringu dla 100 osób, wynikający </w:t>
      </w:r>
      <w:r>
        <w:rPr>
          <w:rFonts w:ascii="Times New Roman" w:hAnsi="Times New Roman" w:cs="Times New Roman"/>
          <w:sz w:val="24"/>
          <w:szCs w:val="24"/>
        </w:rPr>
        <w:br/>
        <w:t xml:space="preserve">z wystawionej i opłaconej faktury / równoważnego dokumentu, powinien być pomniejszony o koszt dot. 2 osób (100 – 15 [dopuszczalny limit] – 83); </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 noclegu w związku z organizowaniem szkoleń, konferencji, spo</w:t>
      </w:r>
      <w:r>
        <w:rPr>
          <w:rFonts w:ascii="Times New Roman" w:hAnsi="Times New Roman" w:cs="Times New Roman"/>
          <w:sz w:val="24"/>
          <w:szCs w:val="24"/>
        </w:rPr>
        <w:t>tkań, komitetów itp. W przypadku gdy faktyczna liczba uczestników, która została zgłoszona do korzystania z usługi noclegu, jest mniejsza o nie więcej niż 15% liczby uczestników deklarujących swój udział (przy dochowaniu należytej staranności przez organiz</w:t>
      </w:r>
      <w:r>
        <w:rPr>
          <w:rFonts w:ascii="Times New Roman" w:hAnsi="Times New Roman" w:cs="Times New Roman"/>
          <w:sz w:val="24"/>
          <w:szCs w:val="24"/>
        </w:rPr>
        <w:t>atora wydarzenia na etapie jego planowania i rekrutacji uczestników), wówczas za koszt kwalifikowalny uznaje się koszt usługi noclegowej w całości wynikający z deklarowanego udziału, na podstawie wystawionej i opłaconej faktury lub równoważnego dokumentu .</w:t>
      </w:r>
    </w:p>
    <w:p w:rsidR="003B68F1" w:rsidRDefault="00511C98">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uczestników, która nie wzięła udziału w wydarzeniu, jest mniejsza o nie więcej niż 15% (wynosi 13%) liczby uczestników deklarujących swój udz</w:t>
      </w:r>
      <w:r>
        <w:rPr>
          <w:rFonts w:ascii="Times New Roman" w:hAnsi="Times New Roman" w:cs="Times New Roman"/>
          <w:sz w:val="24"/>
          <w:szCs w:val="24"/>
        </w:rPr>
        <w:t>iał. Zatem koszt usługi noclegowej dla 100 osób, wynikający z wystawionej i opłaconej faktury / równoważnego dokumentu, jest kwalifikowalny w 100%.</w:t>
      </w:r>
    </w:p>
    <w:p w:rsidR="003B68F1" w:rsidRDefault="00511C98">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 xml:space="preserve">W wydarzeniu udział zadeklarowało 100 osób, a faktycznie udział wzięły 83 osoby. Zatem faktyczna </w:t>
      </w:r>
      <w:r>
        <w:rPr>
          <w:rFonts w:ascii="Times New Roman" w:hAnsi="Times New Roman" w:cs="Times New Roman"/>
          <w:sz w:val="24"/>
          <w:szCs w:val="24"/>
        </w:rPr>
        <w:t>liczba uczestników, która nie wzięła udziału w wydarzeniu, jest większa od  15% (wynosi 17%) liczby uczestników deklarujących swój udział. Zatem koszt usługi noclegowej dla 100 osób, wynikający z wystawionej i opłaconej faktury / równoważnego dokumentu, po</w:t>
      </w:r>
      <w:r>
        <w:rPr>
          <w:rFonts w:ascii="Times New Roman" w:hAnsi="Times New Roman" w:cs="Times New Roman"/>
          <w:sz w:val="24"/>
          <w:szCs w:val="24"/>
        </w:rPr>
        <w:t>winien być pomniejszony o koszt dot. 2 osób (100 – 15 [dopuszczalny limit] – 83);</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wsparcia ze strony ekspertów oraz wykładowców;</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związane z realizacją Planu Ewaluacji Programu Rozwoju Obszarów Wiejskich 2014-2020 (np. ekspertyzy);</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zwią</w:t>
      </w:r>
      <w:r>
        <w:rPr>
          <w:rFonts w:ascii="Times New Roman" w:hAnsi="Times New Roman" w:cs="Times New Roman"/>
          <w:sz w:val="24"/>
          <w:szCs w:val="24"/>
        </w:rPr>
        <w:t>zane z przeprowadzeniem oceny ex-post PROW 2007-2013;</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zakup grzejników, wentylatorów, klimatyzatorów;</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zakup rolet, zasłon;</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zakup szaf pancernych, sejfów;</w:t>
      </w:r>
    </w:p>
    <w:p w:rsidR="003B68F1" w:rsidRDefault="00511C98">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zakup odzieży ochronnej  na potrzeby kontroli projektów, zgodnie z  załącznikiem nr 2 do rozporządzeni</w:t>
      </w:r>
      <w:r>
        <w:rPr>
          <w:rFonts w:ascii="Times New Roman" w:hAnsi="Times New Roman" w:cs="Times New Roman"/>
          <w:sz w:val="24"/>
          <w:szCs w:val="24"/>
        </w:rPr>
        <w:t xml:space="preserve">a Ministra Pracy i Polityki Socjalnej z dnia 26 </w:t>
      </w:r>
      <w:r>
        <w:rPr>
          <w:rFonts w:ascii="Times New Roman" w:hAnsi="Times New Roman" w:cs="Times New Roman"/>
          <w:sz w:val="24"/>
          <w:szCs w:val="24"/>
        </w:rPr>
        <w:lastRenderedPageBreak/>
        <w:t>września 1997 r. w sprawie ogólnych przepisów bezpieczeństwa i higieny pracy (Dz.U. z 2003 poz.1650, z późn.zm.);</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uzyskania zaświadczeń oraz wszelkiej dokumentacji związanej z operacją;</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umowy cywilnopr</w:t>
      </w:r>
      <w:r>
        <w:rPr>
          <w:rFonts w:ascii="Times New Roman" w:hAnsi="Times New Roman" w:cs="Times New Roman"/>
          <w:sz w:val="24"/>
          <w:szCs w:val="24"/>
        </w:rPr>
        <w:t>awne w przypadku uzasadnionej konieczności, z wyjątkiem umów cywilnoprawnych zawieranych przez daną instytucję z własnymi  pracownikami;</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związane z przeprowadzeniem postępowania o udzielenie zamówienia</w:t>
      </w:r>
      <w:r>
        <w:rPr>
          <w:rFonts w:ascii="Times New Roman" w:hAnsi="Times New Roman" w:cs="Times New Roman"/>
          <w:sz w:val="24"/>
          <w:szCs w:val="24"/>
        </w:rPr>
        <w:br/>
        <w:t>publicznego;</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zakup materiałów szkoleniowych (np. podręczników), w przypadku gdy szkolenie jest organizowane przez beneficjenta i materiały te są niezbędne do szkolenia. </w:t>
      </w:r>
      <w:r>
        <w:rPr>
          <w:rFonts w:ascii="Times New Roman" w:hAnsi="Times New Roman" w:cs="Times New Roman"/>
          <w:sz w:val="24"/>
          <w:szCs w:val="24"/>
        </w:rPr>
        <w:br/>
        <w:t>W sytuacji organizowania szkoleń, konferencji, spotkań, komitetów itp., na które zakupiono materiał</w:t>
      </w:r>
      <w:r>
        <w:rPr>
          <w:rFonts w:ascii="Times New Roman" w:hAnsi="Times New Roman" w:cs="Times New Roman"/>
          <w:sz w:val="24"/>
          <w:szCs w:val="24"/>
        </w:rPr>
        <w:t>y szkoleniowe, gdy faktyczna liczba uczestników, która wzięła udział w wydarzeniu jest mniejsza o nie więcej niż 15% liczby uczestników deklarujących swój udział (przy dochowaniu należytej staranności przez organizatora wydarzenia na etapie jego planowania</w:t>
      </w:r>
      <w:r>
        <w:rPr>
          <w:rFonts w:ascii="Times New Roman" w:hAnsi="Times New Roman" w:cs="Times New Roman"/>
          <w:sz w:val="24"/>
          <w:szCs w:val="24"/>
        </w:rPr>
        <w:t xml:space="preserve"> i rekrutacji uczestników), wówczas za koszt kwalifikowalny uznaje się koszt zakupu materiałów szkoleniowych w całości wynikający z deklarowanego udziału, na podstawie wystawionej i opłaconej faktury lub równoważnego dokumentu.</w:t>
      </w:r>
    </w:p>
    <w:p w:rsidR="003B68F1" w:rsidRDefault="00511C98">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W wydarzeniu udzi</w:t>
      </w:r>
      <w:r>
        <w:rPr>
          <w:rFonts w:ascii="Times New Roman" w:hAnsi="Times New Roman" w:cs="Times New Roman"/>
          <w:sz w:val="24"/>
          <w:szCs w:val="24"/>
        </w:rPr>
        <w:t>ał zadeklarowało 100 osób, a faktycznie udział wzięło 87 osób. Zatem faktyczna liczba uczestników, która nie wzięła udziału w wydarzeniu, jest mniejsza o nie więcej niż 15% (wynosi 13%) liczby uczestników deklarujących swój udział. Zatem koszt zakupu mater</w:t>
      </w:r>
      <w:r>
        <w:rPr>
          <w:rFonts w:ascii="Times New Roman" w:hAnsi="Times New Roman" w:cs="Times New Roman"/>
          <w:sz w:val="24"/>
          <w:szCs w:val="24"/>
        </w:rPr>
        <w:t xml:space="preserve">iałów szkoleniowych dla 100 osób, wynikający z wystawionej i opłaconej faktury / równoważnego dokumentu, jest kwalifikowalny w 100%. </w:t>
      </w:r>
    </w:p>
    <w:p w:rsidR="003B68F1" w:rsidRDefault="00511C98">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W wydarzeniu udział zadeklarowało 100 osób, a faktycznie udział wzięły 83 osoby. Zatem faktyczna liczba uczestn</w:t>
      </w:r>
      <w:r>
        <w:rPr>
          <w:rFonts w:ascii="Times New Roman" w:hAnsi="Times New Roman" w:cs="Times New Roman"/>
          <w:sz w:val="24"/>
          <w:szCs w:val="24"/>
        </w:rPr>
        <w:t>ików, która nie wzięła udziału w wydarzeniu, jest większa od 15% (wynosi 17%) liczby uczestników deklarujących swój udział. Zatem koszt zakupu materiałów szkoleniowych dla 100 osób, wynikający z wystawionej i opłaconej faktury / równoważnego dokumentu, pow</w:t>
      </w:r>
      <w:r>
        <w:rPr>
          <w:rFonts w:ascii="Times New Roman" w:hAnsi="Times New Roman" w:cs="Times New Roman"/>
          <w:sz w:val="24"/>
          <w:szCs w:val="24"/>
        </w:rPr>
        <w:t>inien być pomniejszony o koszt  dot. 2 osób (100 – 15 [dopuszczalny limit] – 83);</w:t>
      </w:r>
    </w:p>
    <w:p w:rsidR="003B68F1" w:rsidRDefault="00511C98">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wynajmu stanowisk garażowych/parkingowych samochodów służbowych, </w:t>
      </w:r>
      <w:r>
        <w:rPr>
          <w:rFonts w:ascii="Times New Roman" w:hAnsi="Times New Roman" w:cs="Times New Roman"/>
          <w:sz w:val="24"/>
          <w:szCs w:val="24"/>
        </w:rPr>
        <w:br/>
        <w:t>w przypadku gdy beneficjent nie dysponuje swoim zapleczem.</w:t>
      </w:r>
    </w:p>
    <w:p w:rsidR="003B68F1" w:rsidRDefault="003B68F1">
      <w:pPr>
        <w:spacing w:before="60" w:after="60"/>
        <w:ind w:left="360"/>
        <w:jc w:val="both"/>
        <w:rPr>
          <w:rFonts w:ascii="Times New Roman" w:hAnsi="Times New Roman" w:cs="Times New Roman"/>
          <w:sz w:val="24"/>
          <w:szCs w:val="24"/>
        </w:rPr>
      </w:pPr>
    </w:p>
    <w:p w:rsidR="003B68F1" w:rsidRDefault="00511C98">
      <w:pPr>
        <w:spacing w:before="60" w:after="60"/>
        <w:jc w:val="both"/>
        <w:rPr>
          <w:rFonts w:ascii="Times New Roman" w:hAnsi="Times New Roman" w:cs="Times New Roman"/>
          <w:b/>
          <w:sz w:val="24"/>
          <w:szCs w:val="24"/>
        </w:rPr>
      </w:pPr>
      <w:r>
        <w:rPr>
          <w:rFonts w:ascii="Times New Roman" w:hAnsi="Times New Roman" w:cs="Times New Roman"/>
          <w:b/>
          <w:sz w:val="24"/>
          <w:szCs w:val="24"/>
        </w:rPr>
        <w:t>4. Remont i modernizacja pomieszczeń prze</w:t>
      </w:r>
      <w:r>
        <w:rPr>
          <w:rFonts w:ascii="Times New Roman" w:hAnsi="Times New Roman" w:cs="Times New Roman"/>
          <w:b/>
          <w:sz w:val="24"/>
          <w:szCs w:val="24"/>
        </w:rPr>
        <w:t>znaczonych do wykonywania obowiązków służbowych przez pracowników podmiotu uprawnionego</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związane z zapewnieniem warunków pracy, w sytuacji gdy dotyczą więcej niż jednego pracownika podmiotu uprawnionego, mogą być uznane za kwalifikowalne, jeżeli co </w:t>
      </w:r>
      <w:r>
        <w:rPr>
          <w:rFonts w:ascii="Times New Roman" w:hAnsi="Times New Roman" w:cs="Times New Roman"/>
          <w:sz w:val="24"/>
          <w:szCs w:val="24"/>
        </w:rPr>
        <w:t xml:space="preserve">najmniej jeden pracownik wykonywał zadania kwalifikowalne przez co najmniej 50% swojego czasu pracy w danym miesiącu. Kwota kwalifikowana określana jest w części równej udziałowi czasu pracy pracowników, którzy co najmniej 50% czasu pracy w danym miesiącu </w:t>
      </w:r>
      <w:r>
        <w:rPr>
          <w:rFonts w:ascii="Times New Roman" w:hAnsi="Times New Roman" w:cs="Times New Roman"/>
          <w:sz w:val="24"/>
          <w:szCs w:val="24"/>
        </w:rPr>
        <w:t>przeznaczają na realizację zadań kwalifikowalnych.</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 xml:space="preserve">Zasada, zgodnie z którą wymagane jest minimum 50% zaangażowania pracownika </w:t>
      </w:r>
      <w:r>
        <w:rPr>
          <w:rFonts w:ascii="Times New Roman" w:hAnsi="Times New Roman" w:cs="Times New Roman"/>
          <w:sz w:val="24"/>
          <w:szCs w:val="24"/>
        </w:rPr>
        <w:br/>
        <w:t>w realizację zadań kwalifikowanych, nie dotyczy kosztów poniesionych przez podmiot uprawniony przed wejściem w życie rozporządzen</w:t>
      </w:r>
      <w:r>
        <w:rPr>
          <w:rFonts w:ascii="Times New Roman" w:hAnsi="Times New Roman" w:cs="Times New Roman"/>
          <w:sz w:val="24"/>
          <w:szCs w:val="24"/>
        </w:rPr>
        <w:t>ia o PT, tj. przed dniem 5 października 2016 r. Niemniej w okresie tym kwota kwalifikowalna określana jest zgodnie z zasadą proporcjonalności.</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związane z remontem lub modernizacją pomieszczeń mogą być uznane </w:t>
      </w:r>
      <w:r>
        <w:rPr>
          <w:rFonts w:ascii="Times New Roman" w:hAnsi="Times New Roman" w:cs="Times New Roman"/>
          <w:sz w:val="24"/>
          <w:szCs w:val="24"/>
        </w:rPr>
        <w:br/>
        <w:t>za kwalifikowalne, w przypadku gdy te po</w:t>
      </w:r>
      <w:r>
        <w:rPr>
          <w:rFonts w:ascii="Times New Roman" w:hAnsi="Times New Roman" w:cs="Times New Roman"/>
          <w:sz w:val="24"/>
          <w:szCs w:val="24"/>
        </w:rPr>
        <w:t>mieszczenia będą wykorzystywane przez pracowników na realizację zdań kwalifikowanych co najmniej do 31 grudnia 2023 r.</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Do pomieszczeń</w:t>
      </w:r>
      <w:r>
        <w:rPr>
          <w:rFonts w:ascii="Times New Roman" w:hAnsi="Times New Roman" w:cs="Times New Roman"/>
          <w:b/>
          <w:sz w:val="24"/>
          <w:szCs w:val="24"/>
        </w:rPr>
        <w:t xml:space="preserve"> </w:t>
      </w:r>
      <w:r>
        <w:rPr>
          <w:rFonts w:ascii="Times New Roman" w:hAnsi="Times New Roman" w:cs="Times New Roman"/>
          <w:sz w:val="24"/>
          <w:szCs w:val="24"/>
        </w:rPr>
        <w:t>przeznaczonych</w:t>
      </w:r>
      <w:r>
        <w:rPr>
          <w:rFonts w:ascii="Times New Roman" w:hAnsi="Times New Roman" w:cs="Times New Roman"/>
          <w:b/>
          <w:sz w:val="24"/>
          <w:szCs w:val="24"/>
        </w:rPr>
        <w:t xml:space="preserve"> </w:t>
      </w:r>
      <w:r>
        <w:rPr>
          <w:rFonts w:ascii="Times New Roman" w:hAnsi="Times New Roman" w:cs="Times New Roman"/>
          <w:sz w:val="24"/>
          <w:szCs w:val="24"/>
        </w:rPr>
        <w:t>do wykonywania obowiązków służbowych przez pracowników podmiotu uprawnionego należy zaliczyć pokoje, w któr</w:t>
      </w:r>
      <w:r>
        <w:rPr>
          <w:rFonts w:ascii="Times New Roman" w:hAnsi="Times New Roman" w:cs="Times New Roman"/>
          <w:sz w:val="24"/>
          <w:szCs w:val="24"/>
        </w:rPr>
        <w:t>ych pracują pracownicy wykonujący te zadania, oraz archiwum, w którym przechowywane są dokumenty wytworzone przez tych pracowników. Wydatki kwalifikowalne powinny dotyczyć prac, które służą utrzymaniu stanu pomieszczeń biurowych oraz archiwum w standardzie</w:t>
      </w:r>
      <w:r>
        <w:rPr>
          <w:rFonts w:ascii="Times New Roman" w:hAnsi="Times New Roman" w:cs="Times New Roman"/>
          <w:sz w:val="24"/>
          <w:szCs w:val="24"/>
        </w:rPr>
        <w:t xml:space="preserve"> umożliwiającym efektywne wykonywanie zadań oraz odpowiednie przechowywanie dokumentów. Koszty te obejmują przeprowadzenie niezbędnych prac m.in. bieżące naprawy, malowanie pomieszczeń, wymiana elektryki, urządzeń grzewczych, wykładzin, montowanie rolet lu</w:t>
      </w:r>
      <w:r>
        <w:rPr>
          <w:rFonts w:ascii="Times New Roman" w:hAnsi="Times New Roman" w:cs="Times New Roman"/>
          <w:sz w:val="24"/>
          <w:szCs w:val="24"/>
        </w:rPr>
        <w:t>b żaluzji okiennych, klimatyzatorów.</w:t>
      </w:r>
    </w:p>
    <w:p w:rsidR="003B68F1" w:rsidRDefault="003B68F1">
      <w:pPr>
        <w:tabs>
          <w:tab w:val="left" w:pos="1816"/>
        </w:tabs>
        <w:spacing w:before="60" w:after="60"/>
        <w:jc w:val="both"/>
        <w:rPr>
          <w:rFonts w:ascii="Times New Roman" w:hAnsi="Times New Roman" w:cs="Times New Roman"/>
          <w:i/>
          <w:sz w:val="24"/>
          <w:szCs w:val="24"/>
        </w:rPr>
      </w:pPr>
    </w:p>
    <w:p w:rsidR="003B68F1" w:rsidRDefault="00511C98">
      <w:pPr>
        <w:tabs>
          <w:tab w:val="left" w:pos="1816"/>
        </w:tabs>
        <w:spacing w:before="60" w:after="60"/>
        <w:jc w:val="both"/>
        <w:rPr>
          <w:rFonts w:ascii="Times New Roman" w:hAnsi="Times New Roman" w:cs="Times New Roman"/>
          <w:b/>
          <w:i/>
          <w:sz w:val="24"/>
          <w:szCs w:val="24"/>
        </w:rPr>
      </w:pPr>
      <w:r>
        <w:rPr>
          <w:rFonts w:ascii="Times New Roman" w:hAnsi="Times New Roman" w:cs="Times New Roman"/>
          <w:b/>
          <w:i/>
          <w:sz w:val="24"/>
          <w:szCs w:val="24"/>
        </w:rPr>
        <w:t>Przykład</w:t>
      </w:r>
      <w:r>
        <w:rPr>
          <w:rFonts w:ascii="Times New Roman" w:hAnsi="Times New Roman" w:cs="Times New Roman"/>
          <w:b/>
          <w:i/>
          <w:sz w:val="24"/>
          <w:szCs w:val="24"/>
        </w:rPr>
        <w:tab/>
      </w:r>
    </w:p>
    <w:p w:rsidR="003B68F1" w:rsidRDefault="00511C98">
      <w:pPr>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W pomieszczeniu pracują 3 osoby realizujące zadania związane z PT PROW 2014-2020. </w:t>
      </w:r>
    </w:p>
    <w:tbl>
      <w:tblPr>
        <w:tblStyle w:val="Tabela-Siatka"/>
        <w:tblW w:w="8957" w:type="dxa"/>
        <w:tblInd w:w="-38" w:type="dxa"/>
        <w:tblLook w:val="04A0" w:firstRow="1" w:lastRow="0" w:firstColumn="1" w:lastColumn="0" w:noHBand="0" w:noVBand="1"/>
      </w:tblPr>
      <w:tblGrid>
        <w:gridCol w:w="3014"/>
        <w:gridCol w:w="2974"/>
        <w:gridCol w:w="2969"/>
      </w:tblGrid>
      <w:tr w:rsidR="003B68F1">
        <w:tc>
          <w:tcPr>
            <w:tcW w:w="3014" w:type="dxa"/>
            <w:shd w:val="clear" w:color="auto" w:fill="7F7F7F" w:themeFill="text1" w:themeFillTint="80"/>
          </w:tcPr>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Pomieszczenie</w:t>
            </w:r>
          </w:p>
        </w:tc>
        <w:tc>
          <w:tcPr>
            <w:tcW w:w="2974" w:type="dxa"/>
            <w:shd w:val="clear" w:color="auto" w:fill="7F7F7F" w:themeFill="text1" w:themeFillTint="80"/>
          </w:tcPr>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Zadania kwalifikowalne</w:t>
            </w:r>
          </w:p>
        </w:tc>
        <w:tc>
          <w:tcPr>
            <w:tcW w:w="2969" w:type="dxa"/>
            <w:shd w:val="clear" w:color="auto" w:fill="7F7F7F" w:themeFill="text1" w:themeFillTint="80"/>
          </w:tcPr>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Współczynnik finansowania z PT PROW </w:t>
            </w:r>
          </w:p>
        </w:tc>
      </w:tr>
      <w:tr w:rsidR="003B68F1">
        <w:tc>
          <w:tcPr>
            <w:tcW w:w="3014" w:type="dxa"/>
          </w:tcPr>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Pracownik A</w:t>
            </w:r>
          </w:p>
        </w:tc>
        <w:tc>
          <w:tcPr>
            <w:tcW w:w="2974" w:type="dxa"/>
          </w:tcPr>
          <w:p w:rsidR="003B68F1" w:rsidRDefault="00511C98">
            <w:pPr>
              <w:spacing w:before="60" w:after="60"/>
              <w:jc w:val="center"/>
              <w:rPr>
                <w:rFonts w:ascii="Times New Roman" w:hAnsi="Times New Roman" w:cs="Times New Roman"/>
                <w:sz w:val="24"/>
                <w:szCs w:val="24"/>
              </w:rPr>
            </w:pPr>
            <w:r>
              <w:rPr>
                <w:rFonts w:ascii="Times New Roman" w:hAnsi="Times New Roman" w:cs="Times New Roman"/>
                <w:sz w:val="24"/>
                <w:szCs w:val="24"/>
              </w:rPr>
              <w:t>30%</w:t>
            </w:r>
          </w:p>
        </w:tc>
        <w:tc>
          <w:tcPr>
            <w:tcW w:w="2969" w:type="dxa"/>
          </w:tcPr>
          <w:p w:rsidR="003B68F1" w:rsidRDefault="00511C9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r>
      <w:tr w:rsidR="003B68F1">
        <w:tc>
          <w:tcPr>
            <w:tcW w:w="3014" w:type="dxa"/>
          </w:tcPr>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Pracownik B</w:t>
            </w:r>
          </w:p>
        </w:tc>
        <w:tc>
          <w:tcPr>
            <w:tcW w:w="2974" w:type="dxa"/>
          </w:tcPr>
          <w:p w:rsidR="003B68F1" w:rsidRDefault="00511C98">
            <w:pPr>
              <w:spacing w:before="60" w:after="60"/>
              <w:jc w:val="center"/>
              <w:rPr>
                <w:rFonts w:ascii="Times New Roman" w:hAnsi="Times New Roman" w:cs="Times New Roman"/>
                <w:sz w:val="24"/>
                <w:szCs w:val="24"/>
              </w:rPr>
            </w:pPr>
            <w:r>
              <w:rPr>
                <w:rFonts w:ascii="Times New Roman" w:hAnsi="Times New Roman" w:cs="Times New Roman"/>
                <w:sz w:val="24"/>
                <w:szCs w:val="24"/>
              </w:rPr>
              <w:t>50%</w:t>
            </w:r>
          </w:p>
        </w:tc>
        <w:tc>
          <w:tcPr>
            <w:tcW w:w="2969" w:type="dxa"/>
          </w:tcPr>
          <w:p w:rsidR="003B68F1" w:rsidRDefault="00511C98">
            <w:pPr>
              <w:spacing w:before="60" w:after="60"/>
              <w:jc w:val="center"/>
              <w:rPr>
                <w:rFonts w:ascii="Times New Roman" w:hAnsi="Times New Roman" w:cs="Times New Roman"/>
                <w:sz w:val="24"/>
                <w:szCs w:val="24"/>
              </w:rPr>
            </w:pPr>
            <w:r>
              <w:rPr>
                <w:rFonts w:ascii="Times New Roman" w:hAnsi="Times New Roman" w:cs="Times New Roman"/>
                <w:sz w:val="24"/>
                <w:szCs w:val="24"/>
              </w:rPr>
              <w:t>0,5</w:t>
            </w:r>
          </w:p>
        </w:tc>
      </w:tr>
      <w:tr w:rsidR="003B68F1">
        <w:tc>
          <w:tcPr>
            <w:tcW w:w="3014" w:type="dxa"/>
          </w:tcPr>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Pracownik </w:t>
            </w:r>
            <w:r>
              <w:rPr>
                <w:rFonts w:ascii="Times New Roman" w:hAnsi="Times New Roman" w:cs="Times New Roman"/>
                <w:sz w:val="24"/>
                <w:szCs w:val="24"/>
              </w:rPr>
              <w:t>C</w:t>
            </w:r>
          </w:p>
        </w:tc>
        <w:tc>
          <w:tcPr>
            <w:tcW w:w="2974" w:type="dxa"/>
          </w:tcPr>
          <w:p w:rsidR="003B68F1" w:rsidRDefault="00511C98">
            <w:pPr>
              <w:spacing w:before="60" w:after="60"/>
              <w:jc w:val="center"/>
              <w:rPr>
                <w:rFonts w:ascii="Times New Roman" w:hAnsi="Times New Roman" w:cs="Times New Roman"/>
                <w:sz w:val="24"/>
                <w:szCs w:val="24"/>
              </w:rPr>
            </w:pPr>
            <w:r>
              <w:rPr>
                <w:rFonts w:ascii="Times New Roman" w:hAnsi="Times New Roman" w:cs="Times New Roman"/>
                <w:sz w:val="24"/>
                <w:szCs w:val="24"/>
              </w:rPr>
              <w:t>60%</w:t>
            </w:r>
          </w:p>
        </w:tc>
        <w:tc>
          <w:tcPr>
            <w:tcW w:w="2969" w:type="dxa"/>
          </w:tcPr>
          <w:p w:rsidR="003B68F1" w:rsidRDefault="00511C98">
            <w:pPr>
              <w:spacing w:before="60" w:after="60"/>
              <w:jc w:val="center"/>
              <w:rPr>
                <w:rFonts w:ascii="Times New Roman" w:hAnsi="Times New Roman" w:cs="Times New Roman"/>
                <w:sz w:val="24"/>
                <w:szCs w:val="24"/>
              </w:rPr>
            </w:pPr>
            <w:r>
              <w:rPr>
                <w:rFonts w:ascii="Times New Roman" w:hAnsi="Times New Roman" w:cs="Times New Roman"/>
                <w:sz w:val="24"/>
                <w:szCs w:val="24"/>
              </w:rPr>
              <w:t>0,6</w:t>
            </w:r>
          </w:p>
        </w:tc>
      </w:tr>
    </w:tbl>
    <w:p w:rsidR="003B68F1" w:rsidRDefault="00511C98">
      <w:pPr>
        <w:spacing w:before="60" w:after="60"/>
        <w:jc w:val="both"/>
        <w:rPr>
          <w:rFonts w:ascii="Times New Roman" w:hAnsi="Times New Roman" w:cs="Times New Roman"/>
          <w:i/>
          <w:sz w:val="24"/>
          <w:szCs w:val="24"/>
        </w:rPr>
      </w:pPr>
      <w:r>
        <w:rPr>
          <w:rFonts w:ascii="Times New Roman" w:hAnsi="Times New Roman" w:cs="Times New Roman"/>
          <w:i/>
          <w:sz w:val="24"/>
          <w:szCs w:val="24"/>
        </w:rPr>
        <w:t>Wyliczenie kosztów kwalifikowalnych w pomieszczeniu, w okresie od wejścia w życie rozporządzenia o PT, tj. od 5 października 2016 r., wygląda następująco:</w:t>
      </w:r>
    </w:p>
    <w:p w:rsidR="003B68F1" w:rsidRDefault="00511C98">
      <w:pPr>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Współczynnik kwalifikowalności : (0,5+0,6)/3 = 0,3666 </w:t>
      </w:r>
    </w:p>
    <w:p w:rsidR="003B68F1" w:rsidRDefault="00511C98">
      <w:pPr>
        <w:spacing w:before="60" w:after="60"/>
        <w:jc w:val="both"/>
        <w:rPr>
          <w:rFonts w:ascii="Times New Roman" w:hAnsi="Times New Roman" w:cs="Times New Roman"/>
          <w:i/>
          <w:sz w:val="24"/>
          <w:szCs w:val="24"/>
        </w:rPr>
      </w:pPr>
      <w:r>
        <w:rPr>
          <w:rFonts w:ascii="Times New Roman" w:hAnsi="Times New Roman" w:cs="Times New Roman"/>
          <w:i/>
          <w:sz w:val="24"/>
          <w:szCs w:val="24"/>
        </w:rPr>
        <w:t>Koszt poniesiony: 1.000 zł</w:t>
      </w:r>
    </w:p>
    <w:p w:rsidR="003B68F1" w:rsidRDefault="00511C98">
      <w:pPr>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Kwota </w:t>
      </w:r>
      <w:r>
        <w:rPr>
          <w:rFonts w:ascii="Times New Roman" w:hAnsi="Times New Roman" w:cs="Times New Roman"/>
          <w:i/>
          <w:sz w:val="24"/>
          <w:szCs w:val="24"/>
        </w:rPr>
        <w:t>kwalifikowalna: 1.000 zł* 0,3666 = 366 zł</w:t>
      </w:r>
      <w:r>
        <w:rPr>
          <w:rFonts w:ascii="Times New Roman" w:hAnsi="Times New Roman" w:cs="Times New Roman"/>
          <w:i/>
          <w:sz w:val="24"/>
          <w:szCs w:val="24"/>
        </w:rPr>
        <w:tab/>
        <w:t xml:space="preserve"> </w:t>
      </w:r>
    </w:p>
    <w:p w:rsidR="003B68F1" w:rsidRDefault="003B68F1">
      <w:pPr>
        <w:spacing w:before="60" w:after="60"/>
        <w:jc w:val="both"/>
        <w:rPr>
          <w:rFonts w:ascii="Times New Roman" w:hAnsi="Times New Roman" w:cs="Times New Roman"/>
          <w:sz w:val="24"/>
          <w:szCs w:val="24"/>
        </w:rPr>
      </w:pPr>
    </w:p>
    <w:p w:rsidR="003B68F1" w:rsidRDefault="00511C98">
      <w:pPr>
        <w:spacing w:before="60" w:after="60"/>
        <w:jc w:val="both"/>
        <w:rPr>
          <w:rFonts w:ascii="Times New Roman" w:hAnsi="Times New Roman" w:cs="Times New Roman"/>
          <w:b/>
          <w:sz w:val="24"/>
          <w:szCs w:val="24"/>
        </w:rPr>
      </w:pPr>
      <w:r>
        <w:rPr>
          <w:rFonts w:ascii="Times New Roman" w:hAnsi="Times New Roman" w:cs="Times New Roman"/>
          <w:b/>
          <w:sz w:val="24"/>
          <w:szCs w:val="24"/>
        </w:rPr>
        <w:t>5. Koszty związane z zapewnieniem warunków pracy pracownikowi podmiotu uprawnionego, niezbędnych do wykonywania zadań kwalifikowalnych</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Do kosztów związanych z zapewnieniem warunków pracy pracownika podmiotu upra</w:t>
      </w:r>
      <w:r>
        <w:rPr>
          <w:rFonts w:ascii="Times New Roman" w:hAnsi="Times New Roman" w:cs="Times New Roman"/>
          <w:sz w:val="24"/>
          <w:szCs w:val="24"/>
        </w:rPr>
        <w:t>wnionego należą w szczególności koszty zakupu sprzętu komputerowego, oprogramowania, mebli, materiałów biurowych, usług telekomunikacyjnych, remontu, modernizacji oraz najmu i utrzymania pomieszczeń takich jak pokoje biurowe, pokoje socjalne, korytarze, sa</w:t>
      </w:r>
      <w:r>
        <w:rPr>
          <w:rFonts w:ascii="Times New Roman" w:hAnsi="Times New Roman" w:cs="Times New Roman"/>
          <w:sz w:val="24"/>
          <w:szCs w:val="24"/>
        </w:rPr>
        <w:t xml:space="preserve">nitariaty, serwerownie i centrale telekomunikacyjne oraz sale konferencyjne. Przedmiotowe koszty są kwalifikowalne w takim procencie, w jakim dany </w:t>
      </w:r>
      <w:r>
        <w:rPr>
          <w:rFonts w:ascii="Times New Roman" w:hAnsi="Times New Roman" w:cs="Times New Roman"/>
          <w:sz w:val="24"/>
          <w:szCs w:val="24"/>
        </w:rPr>
        <w:lastRenderedPageBreak/>
        <w:t>pracownik jest zaangażowany w realizację zadań kwalifikowalnych, a który nie może być niższy niż 50%.</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W przyp</w:t>
      </w:r>
      <w:r>
        <w:rPr>
          <w:rFonts w:ascii="Times New Roman" w:hAnsi="Times New Roman" w:cs="Times New Roman"/>
          <w:sz w:val="24"/>
          <w:szCs w:val="24"/>
        </w:rPr>
        <w:t>adku gdy pracownicy podmiotu uprawnionego wykonują swe zadania zajmując powierzchnię, która jest użytkowana tylko na potrzeby Programu, wtedy koszt jej użytkowania jest kwalifikowalny w 100%.</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Zasada, zgodnie z którą wymagane jest minimum 50% zaangażowania </w:t>
      </w:r>
      <w:r>
        <w:rPr>
          <w:rFonts w:ascii="Times New Roman" w:hAnsi="Times New Roman" w:cs="Times New Roman"/>
          <w:sz w:val="24"/>
          <w:szCs w:val="24"/>
        </w:rPr>
        <w:t xml:space="preserve">pracownika </w:t>
      </w:r>
      <w:r>
        <w:rPr>
          <w:rFonts w:ascii="Times New Roman" w:hAnsi="Times New Roman" w:cs="Times New Roman"/>
          <w:sz w:val="24"/>
          <w:szCs w:val="24"/>
        </w:rPr>
        <w:br/>
        <w:t xml:space="preserve">w realizację zadań kwalifikowanych, nie dotyczy kosztów poniesionych przez podmiot uprawniony przed wejściem w życie rozporządzenia o PT, tj. przed dniem 5 października 2016 r. Niemniej w okresie tym kwota kwalifikowalna określana jest zgodnie </w:t>
      </w:r>
      <w:r>
        <w:rPr>
          <w:rFonts w:ascii="Times New Roman" w:hAnsi="Times New Roman" w:cs="Times New Roman"/>
          <w:sz w:val="24"/>
          <w:szCs w:val="24"/>
        </w:rPr>
        <w:t>z zasadą proporcjonalności.</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Poziom kwalifikowalności wydatków niezbędnych do sprawnego funkcjonowania instytucji, których nie można jednostkowo przypisać do stanowiska pracy (np. czynsz, opłaty eksploatacyjne, abonamenty, infrastruktura teleinformatyczna),</w:t>
      </w:r>
      <w:r>
        <w:rPr>
          <w:rFonts w:ascii="Times New Roman" w:hAnsi="Times New Roman" w:cs="Times New Roman"/>
          <w:sz w:val="24"/>
          <w:szCs w:val="24"/>
        </w:rPr>
        <w:t xml:space="preserve"> wynika ze średniego poziomu kwalifikowalności stanowisk pracy w instytucji, obliczanego jako stosunek liczby etatów kwalifikowalnych do liczby wszystkich etatów w danej jednostce organizacyjnej</w:t>
      </w:r>
      <w:r>
        <w:rPr>
          <w:rFonts w:ascii="Times New Roman" w:hAnsi="Times New Roman" w:cs="Times New Roman"/>
          <w:sz w:val="24"/>
          <w:szCs w:val="24"/>
        </w:rPr>
        <w:br/>
        <w:t xml:space="preserve"> (np. urzędzie, agencji, departamencie) lub w danej lokalizac</w:t>
      </w:r>
      <w:r>
        <w:rPr>
          <w:rFonts w:ascii="Times New Roman" w:hAnsi="Times New Roman" w:cs="Times New Roman"/>
          <w:sz w:val="24"/>
          <w:szCs w:val="24"/>
        </w:rPr>
        <w:t>ji (budynku).</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Poziom kwalifikowalności wydatków związanych z zakupem sprzętu i wyposażenia, którego nie można bezpośrednio powiązać z pracownikiem (np. drukarki sieciowe, kserokopiarki, tonery do drukarek itp.), a który jest nabywany na potrzeby jednostki </w:t>
      </w:r>
      <w:r>
        <w:rPr>
          <w:rFonts w:ascii="Times New Roman" w:hAnsi="Times New Roman" w:cs="Times New Roman"/>
          <w:sz w:val="24"/>
          <w:szCs w:val="24"/>
        </w:rPr>
        <w:t>organizacyjnej, wynika także ze średniego poziomu kwalifikowalności stanowisk pracy w instytucji, obliczanego jako stosunek liczby etatów kwalifikowalnych do liczby wszystkich etatów w danej jednostce organizacyjnej (np. urzędzie, agencji, departamencie) l</w:t>
      </w:r>
      <w:r>
        <w:rPr>
          <w:rFonts w:ascii="Times New Roman" w:hAnsi="Times New Roman" w:cs="Times New Roman"/>
          <w:sz w:val="24"/>
          <w:szCs w:val="24"/>
        </w:rPr>
        <w:t>ub w danej lokalizacji (budynku).</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W przypadku zakupu sprzętu użytkowanego tylko do wykonywania zadań kwalifikowalnych,</w:t>
      </w:r>
      <w:r>
        <w:t xml:space="preserve"> </w:t>
      </w:r>
      <w:r>
        <w:rPr>
          <w:rFonts w:ascii="Times New Roman" w:hAnsi="Times New Roman" w:cs="Times New Roman"/>
          <w:sz w:val="24"/>
          <w:szCs w:val="24"/>
        </w:rPr>
        <w:t>koszt zakupu tego sprzętu jest kwalifikowalny w 100%, w przypadkach gdy:</w:t>
      </w:r>
    </w:p>
    <w:p w:rsidR="003B68F1" w:rsidRDefault="00511C98">
      <w:pPr>
        <w:pStyle w:val="Akapitzlist"/>
        <w:numPr>
          <w:ilvl w:val="0"/>
          <w:numId w:val="23"/>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pracownicy wykorzystujący sprzęt są zaangażowani w wykonywanie zadań kwalifikowalnych w 100%, nawet jeśli nie są zatrudnieni w pełnym wymiarze; </w:t>
      </w:r>
    </w:p>
    <w:p w:rsidR="003B68F1" w:rsidRDefault="00511C98">
      <w:pPr>
        <w:pStyle w:val="Akapitzlist"/>
        <w:numPr>
          <w:ilvl w:val="0"/>
          <w:numId w:val="23"/>
        </w:numPr>
        <w:spacing w:before="60" w:after="60"/>
        <w:jc w:val="both"/>
        <w:rPr>
          <w:rFonts w:ascii="Times New Roman" w:hAnsi="Times New Roman" w:cs="Times New Roman"/>
          <w:sz w:val="24"/>
          <w:szCs w:val="24"/>
        </w:rPr>
      </w:pPr>
      <w:r>
        <w:rPr>
          <w:rFonts w:ascii="Times New Roman" w:hAnsi="Times New Roman" w:cs="Times New Roman"/>
          <w:sz w:val="24"/>
          <w:szCs w:val="24"/>
        </w:rPr>
        <w:t>sprzęt użytkowany jest wyłącznie do zadań kwalifikowalnych przez pracowników zaangażowanych w wykonywanie zadań</w:t>
      </w:r>
      <w:r>
        <w:rPr>
          <w:rFonts w:ascii="Times New Roman" w:hAnsi="Times New Roman" w:cs="Times New Roman"/>
          <w:sz w:val="24"/>
          <w:szCs w:val="24"/>
        </w:rPr>
        <w:t xml:space="preserve"> kwalifikowalnych w stopniu niższym niż 100%.</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Kwalifikowalne jest wyposażenie stanowiska pracy w przedmioty niezbędne z punktu widzenia przepisów BHP (biurko, krzesło, zagłówki, podnóżki itp.).</w:t>
      </w:r>
    </w:p>
    <w:p w:rsidR="003B68F1" w:rsidRDefault="00511C98">
      <w:pPr>
        <w:shd w:val="clear" w:color="auto" w:fill="FFFFFF"/>
        <w:spacing w:before="10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Do ww. kategorii można zaliczyć również koszty związane z zaku</w:t>
      </w:r>
      <w:r>
        <w:rPr>
          <w:rFonts w:ascii="Times New Roman" w:eastAsia="Times New Roman" w:hAnsi="Times New Roman" w:cs="Times New Roman"/>
          <w:sz w:val="24"/>
          <w:szCs w:val="24"/>
        </w:rPr>
        <w:t xml:space="preserve">pem środków ochrony osobistej </w:t>
      </w:r>
      <w:r>
        <w:rPr>
          <w:rFonts w:ascii="Times New Roman" w:eastAsia="Times New Roman" w:hAnsi="Times New Roman" w:cs="Times New Roman"/>
          <w:sz w:val="24"/>
          <w:szCs w:val="24"/>
          <w:shd w:val="clear" w:color="auto" w:fill="FFFFFF"/>
        </w:rPr>
        <w:t xml:space="preserve"> (m.in.  preparatów do dezynfekcji, rękawiczek jednorazowych, maseczek, przyłbic dla pracowników itp.) zalecanych i rekomendowanych przez Ministra Zdrowia i Inspektora Sanitarnego.</w:t>
      </w:r>
    </w:p>
    <w:p w:rsidR="003B68F1" w:rsidRDefault="00511C98">
      <w:pPr>
        <w:pStyle w:val="Akapitzlist"/>
        <w:numPr>
          <w:ilvl w:val="0"/>
          <w:numId w:val="7"/>
        </w:numPr>
        <w:spacing w:before="60" w:after="60"/>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Koszty przejazdów, dojazdów środkami komunikacji miejscowej i noclegów poniesione przez: </w:t>
      </w:r>
    </w:p>
    <w:p w:rsidR="003B68F1" w:rsidRDefault="00511C98">
      <w:pPr>
        <w:pStyle w:val="Akapitzlist"/>
        <w:numPr>
          <w:ilvl w:val="0"/>
          <w:numId w:val="16"/>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członków KM, o którym mowa w art. 47 rozporządzenia nr 1303/2013, organów opiniodawczo-doradczych oraz organów pomocniczych powołanych w celu wykonywania zadań kwalif</w:t>
      </w:r>
      <w:r>
        <w:rPr>
          <w:rFonts w:ascii="Times New Roman" w:hAnsi="Times New Roman" w:cs="Times New Roman"/>
          <w:sz w:val="24"/>
          <w:szCs w:val="24"/>
        </w:rPr>
        <w:t>ikowalnych;</w:t>
      </w:r>
    </w:p>
    <w:p w:rsidR="003B68F1" w:rsidRDefault="00511C98">
      <w:pPr>
        <w:pStyle w:val="Akapitzlist"/>
        <w:numPr>
          <w:ilvl w:val="0"/>
          <w:numId w:val="16"/>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inne osoby uczestniczące w pracach KM i organów wymienionych w lit. a;</w:t>
      </w:r>
    </w:p>
    <w:p w:rsidR="003B68F1" w:rsidRDefault="00511C98">
      <w:pPr>
        <w:pStyle w:val="Akapitzlist"/>
        <w:numPr>
          <w:ilvl w:val="0"/>
          <w:numId w:val="16"/>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pracowników instytutów badawczych w związku z ich udziałem, celem wsparcia merytorycznego podmiotu uprawnionego, w spotkaniach dotyczących wyznaczania obszarów</w:t>
      </w:r>
      <w:r>
        <w:t xml:space="preserve"> </w:t>
      </w:r>
      <w:r>
        <w:rPr>
          <w:rFonts w:ascii="Times New Roman" w:hAnsi="Times New Roman" w:cs="Times New Roman"/>
          <w:sz w:val="24"/>
          <w:szCs w:val="24"/>
        </w:rPr>
        <w:t>z ograniczeni</w:t>
      </w:r>
      <w:r>
        <w:rPr>
          <w:rFonts w:ascii="Times New Roman" w:hAnsi="Times New Roman" w:cs="Times New Roman"/>
          <w:sz w:val="24"/>
          <w:szCs w:val="24"/>
        </w:rPr>
        <w:t>ami naturalnymi i innymi szczególnymi ograniczeniami.</w:t>
      </w:r>
    </w:p>
    <w:p w:rsidR="003B68F1" w:rsidRDefault="003B68F1">
      <w:pPr>
        <w:pStyle w:val="Akapitzlist"/>
        <w:spacing w:after="0" w:line="240" w:lineRule="auto"/>
        <w:jc w:val="both"/>
        <w:rPr>
          <w:rFonts w:ascii="Times New Roman" w:hAnsi="Times New Roman" w:cs="Times New Roman"/>
          <w:sz w:val="24"/>
          <w:szCs w:val="24"/>
        </w:rPr>
      </w:pPr>
    </w:p>
    <w:p w:rsidR="003B68F1" w:rsidRDefault="00511C98">
      <w:pPr>
        <w:pStyle w:val="LITlitera"/>
        <w:spacing w:before="60" w:after="60" w:line="276" w:lineRule="auto"/>
        <w:ind w:left="0" w:firstLine="0"/>
        <w:rPr>
          <w:rFonts w:ascii="Times New Roman" w:hAnsi="Times New Roman" w:cs="Times New Roman"/>
        </w:rPr>
      </w:pPr>
      <w:r>
        <w:rPr>
          <w:rFonts w:ascii="Times New Roman" w:hAnsi="Times New Roman" w:cs="Times New Roman"/>
        </w:rPr>
        <w:t>Do kosztów kwalifikowalnych zalicza się m.in. koszty przejazdów, dojazdów środkami komunikacji miejscowej i noclegów, poniesione przez członków oraz inne osoby  uczestniczące w pracach KM, organów opin</w:t>
      </w:r>
      <w:r>
        <w:rPr>
          <w:rFonts w:ascii="Times New Roman" w:hAnsi="Times New Roman" w:cs="Times New Roman"/>
        </w:rPr>
        <w:t xml:space="preserve">iodawczo-doradczych oraz organów pomocniczych powołanych w celu wykonywania zadań kwalifikowalnych na podstawie przepisów ustawy. </w:t>
      </w:r>
    </w:p>
    <w:p w:rsidR="003B68F1" w:rsidRDefault="003B68F1">
      <w:pPr>
        <w:pStyle w:val="LITlitera"/>
        <w:spacing w:before="60" w:after="60" w:line="276" w:lineRule="auto"/>
        <w:ind w:left="0" w:firstLine="0"/>
        <w:rPr>
          <w:rFonts w:ascii="Times New Roman" w:hAnsi="Times New Roman" w:cs="Times New Roman"/>
        </w:rPr>
      </w:pPr>
    </w:p>
    <w:p w:rsidR="003B68F1" w:rsidRDefault="00511C98">
      <w:pPr>
        <w:pStyle w:val="Nagwek1"/>
        <w:spacing w:before="60" w:after="60" w:line="276" w:lineRule="auto"/>
        <w:rPr>
          <w:rFonts w:ascii="Times New Roman" w:hAnsi="Times New Roman"/>
          <w:color w:val="auto"/>
        </w:rPr>
      </w:pPr>
      <w:bookmarkStart w:id="5" w:name="_Toc10788489"/>
      <w:r>
        <w:rPr>
          <w:rFonts w:ascii="Times New Roman" w:hAnsi="Times New Roman"/>
          <w:color w:val="auto"/>
        </w:rPr>
        <w:t>V Koszty podlegające refundacji w ramach schematu II</w:t>
      </w:r>
      <w:bookmarkEnd w:id="5"/>
      <w:r>
        <w:rPr>
          <w:rFonts w:ascii="Times New Roman" w:hAnsi="Times New Roman"/>
          <w:color w:val="auto"/>
        </w:rPr>
        <w:t xml:space="preserve"> </w:t>
      </w:r>
    </w:p>
    <w:p w:rsidR="003B68F1" w:rsidRDefault="003B68F1"/>
    <w:p w:rsidR="003B68F1" w:rsidRDefault="00511C98">
      <w:pPr>
        <w:pStyle w:val="Akapitzlist"/>
        <w:numPr>
          <w:ilvl w:val="3"/>
          <w:numId w:val="12"/>
        </w:numPr>
        <w:spacing w:before="60" w:after="60"/>
        <w:ind w:left="709" w:hanging="567"/>
        <w:jc w:val="both"/>
        <w:rPr>
          <w:rFonts w:ascii="Times New Roman" w:hAnsi="Times New Roman" w:cs="Times New Roman"/>
          <w:b/>
          <w:sz w:val="24"/>
          <w:szCs w:val="24"/>
        </w:rPr>
      </w:pPr>
      <w:r>
        <w:rPr>
          <w:rFonts w:ascii="Times New Roman" w:hAnsi="Times New Roman" w:cs="Times New Roman"/>
          <w:b/>
          <w:sz w:val="24"/>
          <w:szCs w:val="24"/>
        </w:rPr>
        <w:t xml:space="preserve">Koszty kwalifikowalne w ramach dwuletnich planów operacyjnych, w tym </w:t>
      </w:r>
      <w:r>
        <w:rPr>
          <w:rFonts w:ascii="Times New Roman" w:hAnsi="Times New Roman" w:cs="Times New Roman"/>
          <w:b/>
          <w:sz w:val="24"/>
          <w:szCs w:val="24"/>
        </w:rPr>
        <w:t>Planu Komunikacyjnego:</w:t>
      </w:r>
    </w:p>
    <w:p w:rsidR="003B68F1" w:rsidRDefault="00511C98">
      <w:pPr>
        <w:pStyle w:val="Akapitzlist"/>
        <w:numPr>
          <w:ilvl w:val="0"/>
          <w:numId w:val="17"/>
        </w:numPr>
        <w:spacing w:before="60" w:after="60"/>
        <w:jc w:val="both"/>
        <w:rPr>
          <w:rFonts w:ascii="Times New Roman" w:hAnsi="Times New Roman" w:cs="Times New Roman"/>
          <w:sz w:val="24"/>
          <w:szCs w:val="24"/>
        </w:rPr>
      </w:pPr>
      <w:r>
        <w:rPr>
          <w:rFonts w:ascii="Times New Roman" w:hAnsi="Times New Roman" w:cs="Times New Roman"/>
          <w:sz w:val="24"/>
          <w:szCs w:val="24"/>
        </w:rPr>
        <w:t>koszty dostaw i usług, w tym wynagrodzenia bezosobowe;</w:t>
      </w:r>
    </w:p>
    <w:p w:rsidR="003B68F1" w:rsidRDefault="00511C98">
      <w:pPr>
        <w:pStyle w:val="Akapitzlist"/>
        <w:numPr>
          <w:ilvl w:val="0"/>
          <w:numId w:val="17"/>
        </w:numPr>
        <w:spacing w:before="60" w:after="60"/>
        <w:jc w:val="both"/>
        <w:rPr>
          <w:rFonts w:ascii="Times New Roman" w:hAnsi="Times New Roman" w:cs="Times New Roman"/>
          <w:sz w:val="24"/>
          <w:szCs w:val="24"/>
        </w:rPr>
      </w:pPr>
      <w:r>
        <w:rPr>
          <w:rFonts w:ascii="Times New Roman" w:hAnsi="Times New Roman" w:cs="Times New Roman"/>
          <w:sz w:val="24"/>
          <w:szCs w:val="24"/>
        </w:rPr>
        <w:t>koszty podróży służbowych pracowników podmiotu uprawnionego oraz przejazdów, dojazdów środkami komunikacji miejscowej i noclegów poniesionych przez inne osoby w związku z realiza</w:t>
      </w:r>
      <w:r>
        <w:rPr>
          <w:rFonts w:ascii="Times New Roman" w:hAnsi="Times New Roman" w:cs="Times New Roman"/>
          <w:sz w:val="24"/>
          <w:szCs w:val="24"/>
        </w:rPr>
        <w:t>cją operacji;</w:t>
      </w:r>
    </w:p>
    <w:p w:rsidR="003B68F1" w:rsidRDefault="00511C98">
      <w:pPr>
        <w:pStyle w:val="Akapitzlist"/>
        <w:numPr>
          <w:ilvl w:val="0"/>
          <w:numId w:val="17"/>
        </w:numPr>
        <w:spacing w:before="60" w:after="60"/>
        <w:jc w:val="both"/>
        <w:rPr>
          <w:rFonts w:ascii="Times New Roman" w:hAnsi="Times New Roman" w:cs="Times New Roman"/>
          <w:sz w:val="24"/>
          <w:szCs w:val="24"/>
        </w:rPr>
      </w:pPr>
      <w:r>
        <w:rPr>
          <w:rFonts w:ascii="Times New Roman" w:hAnsi="Times New Roman" w:cs="Times New Roman"/>
          <w:sz w:val="24"/>
          <w:szCs w:val="24"/>
        </w:rPr>
        <w:t>koszty nagród finansowych dla laureatów konkursów;</w:t>
      </w:r>
    </w:p>
    <w:p w:rsidR="003B68F1" w:rsidRDefault="00511C98">
      <w:pPr>
        <w:pStyle w:val="Akapitzlist"/>
        <w:numPr>
          <w:ilvl w:val="0"/>
          <w:numId w:val="17"/>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kwota środków przekazanych przez podmiot uprawniony partnerowi KSOW </w:t>
      </w:r>
      <w:r>
        <w:rPr>
          <w:rFonts w:ascii="Times New Roman" w:hAnsi="Times New Roman" w:cs="Times New Roman"/>
          <w:sz w:val="24"/>
          <w:szCs w:val="24"/>
        </w:rPr>
        <w:br/>
        <w:t>z tytułu realizacji operacji.</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Koszty te muszą być uzasadnione zakresem operacji i niezbędne do osiągnięcia jej celu oraz r</w:t>
      </w:r>
      <w:r>
        <w:rPr>
          <w:rFonts w:ascii="Times New Roman" w:hAnsi="Times New Roman" w:cs="Times New Roman"/>
          <w:sz w:val="24"/>
          <w:szCs w:val="24"/>
        </w:rPr>
        <w:t xml:space="preserve">acjonalne.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Koszty te są kwalifikowalne pod warunkiem, że zostały ujęte w dwuletnim planie operacyjnym, który został zaakceptowany przez Grupę Roboczą ds. KSOW.</w:t>
      </w:r>
    </w:p>
    <w:p w:rsidR="003B68F1" w:rsidRDefault="003B68F1">
      <w:pPr>
        <w:pStyle w:val="USTustnpkodeksu"/>
        <w:spacing w:before="60" w:after="60" w:line="276" w:lineRule="auto"/>
        <w:ind w:firstLine="0"/>
        <w:rPr>
          <w:rFonts w:ascii="Times New Roman" w:hAnsi="Times New Roman" w:cs="Times New Roman"/>
          <w:b/>
          <w:szCs w:val="24"/>
        </w:rPr>
      </w:pPr>
    </w:p>
    <w:p w:rsidR="003B68F1" w:rsidRDefault="00511C98">
      <w:pPr>
        <w:pStyle w:val="USTustnpkodeksu"/>
        <w:numPr>
          <w:ilvl w:val="1"/>
          <w:numId w:val="25"/>
        </w:numPr>
        <w:spacing w:before="60" w:after="60" w:line="276" w:lineRule="auto"/>
        <w:rPr>
          <w:rFonts w:ascii="Times New Roman" w:hAnsi="Times New Roman" w:cs="Times New Roman"/>
          <w:b/>
          <w:szCs w:val="24"/>
        </w:rPr>
      </w:pPr>
      <w:r>
        <w:rPr>
          <w:rFonts w:ascii="Times New Roman" w:hAnsi="Times New Roman" w:cs="Times New Roman"/>
          <w:b/>
          <w:szCs w:val="24"/>
        </w:rPr>
        <w:t>Koszty dostaw i usług obejmują w szczególności:</w:t>
      </w:r>
    </w:p>
    <w:p w:rsidR="003B68F1" w:rsidRDefault="00511C98">
      <w:pPr>
        <w:pStyle w:val="Akapitzlist"/>
        <w:numPr>
          <w:ilvl w:val="0"/>
          <w:numId w:val="18"/>
        </w:numPr>
        <w:spacing w:before="60" w:after="60"/>
        <w:ind w:left="284" w:hanging="425"/>
        <w:jc w:val="both"/>
        <w:rPr>
          <w:rFonts w:ascii="Times New Roman" w:hAnsi="Times New Roman" w:cs="Times New Roman"/>
          <w:sz w:val="24"/>
          <w:szCs w:val="24"/>
        </w:rPr>
      </w:pPr>
      <w:r>
        <w:rPr>
          <w:rFonts w:ascii="Times New Roman" w:hAnsi="Times New Roman" w:cs="Times New Roman"/>
          <w:sz w:val="24"/>
          <w:szCs w:val="24"/>
        </w:rPr>
        <w:t xml:space="preserve">zakup artykułów biurowych. W sytuacji </w:t>
      </w:r>
      <w:r>
        <w:rPr>
          <w:rFonts w:ascii="Times New Roman" w:hAnsi="Times New Roman" w:cs="Times New Roman"/>
          <w:sz w:val="24"/>
          <w:szCs w:val="24"/>
        </w:rPr>
        <w:t>organizowania szkoleń, konferencji, spotkań, komitetów itp., na które zakupiono artykuły biurowe, gdy faktyczna liczba uczestników, która wzięła udział w wydarzeniu, jest mniejsza o nie więcej niż 15% liczby uczestników deklarujących swój udział (przy doch</w:t>
      </w:r>
      <w:r>
        <w:rPr>
          <w:rFonts w:ascii="Times New Roman" w:hAnsi="Times New Roman" w:cs="Times New Roman"/>
          <w:sz w:val="24"/>
          <w:szCs w:val="24"/>
        </w:rPr>
        <w:t>owaniu należytej staranności przez organizatora wydarzenia na etapie jego planowania i rekrutacji uczestników), wówczas za koszt kwalifikowalny uznaje się koszt artykułów biurowych w całości wynikający z deklarowanego udziału, na podstawie wystawionej i op</w:t>
      </w:r>
      <w:r>
        <w:rPr>
          <w:rFonts w:ascii="Times New Roman" w:hAnsi="Times New Roman" w:cs="Times New Roman"/>
          <w:sz w:val="24"/>
          <w:szCs w:val="24"/>
        </w:rPr>
        <w:t>łaconej faktury lub równoważnego dokumentu.</w:t>
      </w:r>
    </w:p>
    <w:p w:rsidR="003B68F1" w:rsidRDefault="00511C98">
      <w:pPr>
        <w:spacing w:before="60" w:after="60"/>
        <w:ind w:left="284"/>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W wydarzeniu udział zadeklarowało 100 osób, a faktycznie udział wzięło 87 osób. Zatem faktyczna liczba uczestników, która nie wzięła udziału w wydarzeniu, jest mniejsza o nie więcej niż 15% (wynosi 13%</w:t>
      </w:r>
      <w:r>
        <w:rPr>
          <w:rFonts w:ascii="Times New Roman" w:hAnsi="Times New Roman" w:cs="Times New Roman"/>
          <w:sz w:val="24"/>
          <w:szCs w:val="24"/>
        </w:rPr>
        <w:t xml:space="preserve">) liczby uczestników deklarujących swój udział. Zatem koszt zakupu artykułów biurowych dla 100 osób, wynikający z </w:t>
      </w:r>
      <w:r>
        <w:rPr>
          <w:rFonts w:ascii="Times New Roman" w:hAnsi="Times New Roman" w:cs="Times New Roman"/>
          <w:sz w:val="24"/>
          <w:szCs w:val="24"/>
        </w:rPr>
        <w:lastRenderedPageBreak/>
        <w:t>wystawionej i opłaconej faktury / równoważnego dokumentu, jest kwalifikowalny w 100%.</w:t>
      </w:r>
    </w:p>
    <w:p w:rsidR="003B68F1" w:rsidRDefault="00511C98">
      <w:pPr>
        <w:spacing w:before="60" w:after="60"/>
        <w:ind w:left="284"/>
        <w:jc w:val="both"/>
        <w:rPr>
          <w:rFonts w:ascii="Times New Roman" w:hAnsi="Times New Roman" w:cs="Times New Roman"/>
          <w:b/>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w:t>
      </w:r>
      <w:r>
        <w:rPr>
          <w:rFonts w:ascii="Times New Roman" w:hAnsi="Times New Roman" w:cs="Times New Roman"/>
          <w:sz w:val="24"/>
          <w:szCs w:val="24"/>
        </w:rPr>
        <w:t xml:space="preserve"> faktycznie udział wzięły 83 osoby. Zatem faktyczna liczba uczestników, która nie wzięła udziału w wydarzeniu, jest większa od 15% (wynosi 17%) liczby uczestników deklarujących swój udział. Zatem koszt zakupu artykułów biurowych dla 100 osób, wynikający z </w:t>
      </w:r>
      <w:r>
        <w:rPr>
          <w:rFonts w:ascii="Times New Roman" w:hAnsi="Times New Roman" w:cs="Times New Roman"/>
          <w:sz w:val="24"/>
          <w:szCs w:val="24"/>
        </w:rPr>
        <w:t>wystawionej i opłaconej faktury / równoważnego dokumentu, powinien być pomniejszony o koszt dot. 2 osób (100 – 15 [dopuszczalny limit] – 83));</w:t>
      </w:r>
    </w:p>
    <w:p w:rsidR="003B68F1" w:rsidRDefault="00511C98">
      <w:pPr>
        <w:pStyle w:val="Akapitzlist"/>
        <w:numPr>
          <w:ilvl w:val="0"/>
          <w:numId w:val="18"/>
        </w:numPr>
        <w:spacing w:before="60" w:after="60"/>
        <w:ind w:left="0" w:firstLine="284"/>
        <w:jc w:val="both"/>
        <w:rPr>
          <w:rFonts w:ascii="Times New Roman" w:hAnsi="Times New Roman" w:cs="Times New Roman"/>
          <w:sz w:val="24"/>
          <w:szCs w:val="24"/>
        </w:rPr>
      </w:pPr>
      <w:r>
        <w:rPr>
          <w:rFonts w:ascii="Times New Roman" w:hAnsi="Times New Roman" w:cs="Times New Roman"/>
          <w:sz w:val="24"/>
          <w:szCs w:val="24"/>
        </w:rPr>
        <w:t>koszty usług pocztowych oraz kurierskich;</w:t>
      </w:r>
    </w:p>
    <w:p w:rsidR="003B68F1" w:rsidRDefault="00511C98">
      <w:pPr>
        <w:pStyle w:val="Akapitzlist"/>
        <w:numPr>
          <w:ilvl w:val="0"/>
          <w:numId w:val="18"/>
        </w:numPr>
        <w:spacing w:before="60" w:after="60"/>
        <w:ind w:left="284" w:firstLine="0"/>
        <w:jc w:val="both"/>
        <w:rPr>
          <w:rFonts w:ascii="Times New Roman" w:hAnsi="Times New Roman" w:cs="Times New Roman"/>
          <w:sz w:val="24"/>
          <w:szCs w:val="24"/>
        </w:rPr>
      </w:pPr>
      <w:r>
        <w:rPr>
          <w:rFonts w:ascii="Times New Roman" w:hAnsi="Times New Roman" w:cs="Times New Roman"/>
          <w:sz w:val="24"/>
          <w:szCs w:val="24"/>
        </w:rPr>
        <w:t>koszty prowizji/opłat bankowych;</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opłat manipulacyjnych (np. dopł</w:t>
      </w:r>
      <w:r>
        <w:rPr>
          <w:rFonts w:ascii="Times New Roman" w:hAnsi="Times New Roman" w:cs="Times New Roman"/>
          <w:sz w:val="24"/>
          <w:szCs w:val="24"/>
        </w:rPr>
        <w:t>ata za bilet kolejowy u konduktora, opłata za zmianę rezerwacji biletu lotniczego itp.) mogą być uznane za kwalifikowalne jedynie w uzasadnionych okolicznościach;</w:t>
      </w:r>
    </w:p>
    <w:p w:rsidR="003B68F1" w:rsidRDefault="00511C98">
      <w:pPr>
        <w:pStyle w:val="Akapitzlist"/>
        <w:numPr>
          <w:ilvl w:val="0"/>
          <w:numId w:val="18"/>
        </w:numPr>
        <w:spacing w:before="60" w:after="60"/>
        <w:ind w:left="284" w:firstLine="0"/>
        <w:jc w:val="both"/>
        <w:rPr>
          <w:rFonts w:ascii="Times New Roman" w:hAnsi="Times New Roman" w:cs="Times New Roman"/>
          <w:sz w:val="24"/>
          <w:szCs w:val="24"/>
        </w:rPr>
      </w:pPr>
      <w:r>
        <w:rPr>
          <w:rFonts w:ascii="Times New Roman" w:hAnsi="Times New Roman" w:cs="Times New Roman"/>
          <w:sz w:val="24"/>
          <w:szCs w:val="24"/>
        </w:rPr>
        <w:t>koszty rozmów telefonicznych;</w:t>
      </w:r>
    </w:p>
    <w:p w:rsidR="003B68F1" w:rsidRDefault="00511C98">
      <w:pPr>
        <w:pStyle w:val="Akapitzlist"/>
        <w:numPr>
          <w:ilvl w:val="0"/>
          <w:numId w:val="18"/>
        </w:numPr>
        <w:spacing w:before="60" w:after="60"/>
        <w:ind w:left="284" w:firstLine="0"/>
        <w:jc w:val="both"/>
        <w:rPr>
          <w:rFonts w:ascii="Times New Roman" w:hAnsi="Times New Roman" w:cs="Times New Roman"/>
          <w:sz w:val="24"/>
          <w:szCs w:val="24"/>
        </w:rPr>
      </w:pPr>
      <w:r>
        <w:rPr>
          <w:rFonts w:ascii="Times New Roman" w:hAnsi="Times New Roman" w:cs="Times New Roman"/>
          <w:sz w:val="24"/>
          <w:szCs w:val="24"/>
        </w:rPr>
        <w:t>koszty związane z użytkowaniem Internetu na potrzeby operacji;</w:t>
      </w:r>
    </w:p>
    <w:p w:rsidR="003B68F1" w:rsidRDefault="00511C98">
      <w:pPr>
        <w:pStyle w:val="Akapitzlist"/>
        <w:numPr>
          <w:ilvl w:val="0"/>
          <w:numId w:val="18"/>
        </w:numPr>
        <w:spacing w:before="60" w:after="60"/>
        <w:ind w:left="426" w:hanging="142"/>
        <w:jc w:val="both"/>
        <w:rPr>
          <w:rFonts w:ascii="Times New Roman" w:hAnsi="Times New Roman" w:cs="Times New Roman"/>
          <w:sz w:val="24"/>
          <w:szCs w:val="24"/>
        </w:rPr>
      </w:pPr>
      <w:r>
        <w:rPr>
          <w:rFonts w:ascii="Times New Roman" w:hAnsi="Times New Roman" w:cs="Times New Roman"/>
          <w:sz w:val="24"/>
          <w:szCs w:val="24"/>
        </w:rPr>
        <w:t>koszty opracowania ekspertyz i analiz;</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tłumaczenia oraz weryfikacja tłumaczeń;</w:t>
      </w:r>
    </w:p>
    <w:p w:rsidR="003B68F1" w:rsidRDefault="00511C98">
      <w:pPr>
        <w:pStyle w:val="Akapitzlist"/>
        <w:numPr>
          <w:ilvl w:val="0"/>
          <w:numId w:val="18"/>
        </w:numPr>
        <w:spacing w:before="60" w:after="60"/>
        <w:ind w:left="709"/>
        <w:jc w:val="both"/>
        <w:rPr>
          <w:rFonts w:ascii="Times New Roman" w:hAnsi="Times New Roman" w:cs="Times New Roman"/>
          <w:sz w:val="24"/>
          <w:szCs w:val="24"/>
        </w:rPr>
      </w:pPr>
      <w:r>
        <w:rPr>
          <w:rFonts w:ascii="Times New Roman" w:hAnsi="Times New Roman" w:cs="Times New Roman"/>
          <w:sz w:val="24"/>
          <w:szCs w:val="24"/>
        </w:rPr>
        <w:t>koszty usług kserograficznych;</w:t>
      </w:r>
    </w:p>
    <w:p w:rsidR="003B68F1" w:rsidRDefault="00511C98">
      <w:pPr>
        <w:pStyle w:val="Akapitzlist"/>
        <w:numPr>
          <w:ilvl w:val="0"/>
          <w:numId w:val="18"/>
        </w:numPr>
        <w:spacing w:before="60" w:after="60"/>
        <w:ind w:left="426" w:hanging="142"/>
        <w:jc w:val="both"/>
        <w:rPr>
          <w:rFonts w:ascii="Times New Roman" w:hAnsi="Times New Roman" w:cs="Times New Roman"/>
          <w:sz w:val="24"/>
          <w:szCs w:val="24"/>
        </w:rPr>
      </w:pPr>
      <w:r>
        <w:rPr>
          <w:rFonts w:ascii="Times New Roman" w:hAnsi="Times New Roman" w:cs="Times New Roman"/>
          <w:sz w:val="24"/>
          <w:szCs w:val="24"/>
        </w:rPr>
        <w:t xml:space="preserve">wynajęcie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sprzętu multimedialnego i nagłośnienia;</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 xml:space="preserve">zakup zbiorów i baz danych na potrzeby sporządzania badań, ewaluacji, ekspertyz i </w:t>
      </w:r>
      <w:r>
        <w:rPr>
          <w:rFonts w:ascii="Times New Roman" w:hAnsi="Times New Roman" w:cs="Times New Roman"/>
          <w:sz w:val="24"/>
          <w:szCs w:val="24"/>
        </w:rPr>
        <w:t xml:space="preserve">opinii np. płatne zestawienia danych przygotowywane przez GUS, </w:t>
      </w:r>
      <w:proofErr w:type="spellStart"/>
      <w:r>
        <w:rPr>
          <w:rFonts w:ascii="Times New Roman" w:hAnsi="Times New Roman" w:cs="Times New Roman"/>
          <w:sz w:val="24"/>
          <w:szCs w:val="24"/>
        </w:rPr>
        <w:t>IMiGW</w:t>
      </w:r>
      <w:proofErr w:type="spellEnd"/>
      <w:r>
        <w:rPr>
          <w:rFonts w:ascii="Times New Roman" w:hAnsi="Times New Roman" w:cs="Times New Roman"/>
          <w:sz w:val="24"/>
          <w:szCs w:val="24"/>
        </w:rPr>
        <w:t>, IUNG;</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zakup publikacji książkowych o tematyce specjalistycznej związanej z realizacją zadań kwalifikowalnych oraz prasy o takiej tematyce;</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wyżywienia uczestników przedsięwzięć tak</w:t>
      </w:r>
      <w:r>
        <w:rPr>
          <w:rFonts w:ascii="Times New Roman" w:hAnsi="Times New Roman" w:cs="Times New Roman"/>
          <w:sz w:val="24"/>
          <w:szCs w:val="24"/>
        </w:rPr>
        <w:t>ich jak, spotkania, szkolenia, konferencje, seminaria, wyjazdy studyjne organizowanych w ramach operacji. Koszty wyżywienia (np. catering lub zakup artykułów spożywczych) niezbędne do przygotowania poczęstunku w przypadku organizowania szkoleń, konferencji</w:t>
      </w:r>
      <w:r>
        <w:rPr>
          <w:rFonts w:ascii="Times New Roman" w:hAnsi="Times New Roman" w:cs="Times New Roman"/>
          <w:sz w:val="24"/>
          <w:szCs w:val="24"/>
        </w:rPr>
        <w:t>, spotkań, komitetów itp. W przypadku gdy faktyczna liczba uczestników, która wzięła udział w wydarzeniu, jest mniejsza o nie więcej niż 15% liczby uczestników deklarujących swój udział (przy dochowaniu należytej staranności przez organizatora wydarzenia n</w:t>
      </w:r>
      <w:r>
        <w:rPr>
          <w:rFonts w:ascii="Times New Roman" w:hAnsi="Times New Roman" w:cs="Times New Roman"/>
          <w:sz w:val="24"/>
          <w:szCs w:val="24"/>
        </w:rPr>
        <w:t>a etapie jego planowania i rekrutacji uczestników), wówczas za koszt kwalifikowalny uznaje się koszt usługi cateringowej w całości wynikający z deklarowanego udziału, na podstawie wystawionej i opłaconej faktury lub równoważnego dokumentu.</w:t>
      </w:r>
    </w:p>
    <w:p w:rsidR="003B68F1" w:rsidRDefault="00511C98">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W wyd</w:t>
      </w:r>
      <w:r>
        <w:rPr>
          <w:rFonts w:ascii="Times New Roman" w:hAnsi="Times New Roman" w:cs="Times New Roman"/>
          <w:sz w:val="24"/>
          <w:szCs w:val="24"/>
        </w:rPr>
        <w:t xml:space="preserve">arzeniu udział zadeklarowało 100 osób, a faktycznie udział wzięło 87 osób. Zatem faktyczna liczba uczestników, która nie wzięła udziału w wydarzeniu, jest mniejsza o nie więcej niż 15% (wynosi 13%) liczby uczestników deklarujących swój udział. Zatem koszt </w:t>
      </w:r>
      <w:r>
        <w:rPr>
          <w:rFonts w:ascii="Times New Roman" w:hAnsi="Times New Roman" w:cs="Times New Roman"/>
          <w:sz w:val="24"/>
          <w:szCs w:val="24"/>
        </w:rPr>
        <w:t xml:space="preserve">cateringu dla 100 osób, wynikający z wystawionej i opłaconej faktury / równoważnego dokumentu, jest kwalifikowalny w 100%. </w:t>
      </w:r>
    </w:p>
    <w:p w:rsidR="003B68F1" w:rsidRDefault="00511C98">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83 osoby. Zatem faktyczna liczba uczestników, któr</w:t>
      </w:r>
      <w:r>
        <w:rPr>
          <w:rFonts w:ascii="Times New Roman" w:hAnsi="Times New Roman" w:cs="Times New Roman"/>
          <w:sz w:val="24"/>
          <w:szCs w:val="24"/>
        </w:rPr>
        <w:t xml:space="preserve">a nie wzięła udziału </w:t>
      </w:r>
      <w:r>
        <w:rPr>
          <w:rFonts w:ascii="Times New Roman" w:hAnsi="Times New Roman" w:cs="Times New Roman"/>
          <w:sz w:val="24"/>
          <w:szCs w:val="24"/>
        </w:rPr>
        <w:br/>
        <w:t xml:space="preserve">w wydarzeniu, jest większa od 15% (wynosi 17%) liczby uczestników deklarujących </w:t>
      </w:r>
      <w:r>
        <w:rPr>
          <w:rFonts w:ascii="Times New Roman" w:hAnsi="Times New Roman" w:cs="Times New Roman"/>
          <w:sz w:val="24"/>
          <w:szCs w:val="24"/>
        </w:rPr>
        <w:lastRenderedPageBreak/>
        <w:t xml:space="preserve">swój udział. Zatem koszt cateringu dla 100 osób, wynikający z wystawionej i opłaconej faktury / równoważnego dokumentu, powinien być pomniejszony o koszt </w:t>
      </w:r>
      <w:r>
        <w:rPr>
          <w:rFonts w:ascii="Times New Roman" w:hAnsi="Times New Roman" w:cs="Times New Roman"/>
          <w:sz w:val="24"/>
          <w:szCs w:val="24"/>
        </w:rPr>
        <w:t>dot. 2 osób (100 – 15 [dopuszczalny limit] – 83));</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wsparcia ze strony ekspertów oraz wykładowców;</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podróży służbowych, w tym noclegu, w związku z organizowaniem szkoleń, konferencji, spotkań, komitetów itp. W przypadku gdy faktyczna liczba ucz</w:t>
      </w:r>
      <w:r>
        <w:rPr>
          <w:rFonts w:ascii="Times New Roman" w:hAnsi="Times New Roman" w:cs="Times New Roman"/>
          <w:sz w:val="24"/>
          <w:szCs w:val="24"/>
        </w:rPr>
        <w:t>estników, która została zgłoszona do korzystania z usługi noclegu, jest mniejsza o nie więcej niż 15% liczby uczestników deklarujących swój udział (przy dochowaniu należytej staranności przez organizatora wydarzenia na etapie jego planowania i rekrutacji u</w:t>
      </w:r>
      <w:r>
        <w:rPr>
          <w:rFonts w:ascii="Times New Roman" w:hAnsi="Times New Roman" w:cs="Times New Roman"/>
          <w:sz w:val="24"/>
          <w:szCs w:val="24"/>
        </w:rPr>
        <w:t>czestników), wówczas za koszt kwalifikowalny uznaje się koszt usługi noclegowej w całości wynikający z deklarowanego udziału, na podstawie wystawionej i opłaconej faktury lub równoważnego dokumentu.</w:t>
      </w:r>
    </w:p>
    <w:p w:rsidR="003B68F1" w:rsidRDefault="00511C98">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w:t>
      </w:r>
      <w:r>
        <w:rPr>
          <w:rFonts w:ascii="Times New Roman" w:hAnsi="Times New Roman" w:cs="Times New Roman"/>
          <w:sz w:val="24"/>
          <w:szCs w:val="24"/>
        </w:rPr>
        <w:t xml:space="preserve">faktycznie udział wzięło 87 osób. Zatem faktyczna liczba uczestników, która nie wzięła udziału </w:t>
      </w:r>
      <w:r>
        <w:rPr>
          <w:rFonts w:ascii="Times New Roman" w:hAnsi="Times New Roman" w:cs="Times New Roman"/>
          <w:sz w:val="24"/>
          <w:szCs w:val="24"/>
        </w:rPr>
        <w:br/>
        <w:t>w wydarzeniu, jest mniejsza o nie więcej niż 15% (wynosi 13%) liczby uczestników deklarujących swój udział. Zatem koszt usługi noclegowej dla 100 osób, wynikają</w:t>
      </w:r>
      <w:r>
        <w:rPr>
          <w:rFonts w:ascii="Times New Roman" w:hAnsi="Times New Roman" w:cs="Times New Roman"/>
          <w:sz w:val="24"/>
          <w:szCs w:val="24"/>
        </w:rPr>
        <w:t xml:space="preserve">cy z wystawionej i opłaconej faktury / równoważnego dokumentu, jest kwalifikowalny w 100%. </w:t>
      </w:r>
    </w:p>
    <w:p w:rsidR="003B68F1" w:rsidRDefault="00511C98">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83 osoby. Zatem faktyczna liczba uczestników, która nie wzięła udziału w wydarzeni</w:t>
      </w:r>
      <w:r>
        <w:rPr>
          <w:rFonts w:ascii="Times New Roman" w:hAnsi="Times New Roman" w:cs="Times New Roman"/>
          <w:sz w:val="24"/>
          <w:szCs w:val="24"/>
        </w:rPr>
        <w:t>u, jest większa od 15% (wynosi 17%) liczby uczestników deklarujących swój udział. Zatem koszt usługi noclegowej dla 100 osób, wynikający z wystawionej i opłaconej faktury / równoważnego dokumentu, powinien być pomniejszony o koszt dot. 2 osób (100 – 15 [do</w:t>
      </w:r>
      <w:r>
        <w:rPr>
          <w:rFonts w:ascii="Times New Roman" w:hAnsi="Times New Roman" w:cs="Times New Roman"/>
          <w:sz w:val="24"/>
          <w:szCs w:val="24"/>
        </w:rPr>
        <w:t>puszczalny limit] – 83));</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przygotowania, druku i dystrybucji publikacji (foldery, ulotki, broszury itp.);</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 xml:space="preserve">koszty przygotowania, zamieszczenia i dystrybucji materiału informacyjnego </w:t>
      </w:r>
      <w:r>
        <w:rPr>
          <w:rFonts w:ascii="Times New Roman" w:hAnsi="Times New Roman" w:cs="Times New Roman"/>
          <w:sz w:val="24"/>
          <w:szCs w:val="24"/>
        </w:rPr>
        <w:br/>
        <w:t>w prasie (artykuł);</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opracowania graficznego, przygotowania d</w:t>
      </w:r>
      <w:r>
        <w:rPr>
          <w:rFonts w:ascii="Times New Roman" w:hAnsi="Times New Roman" w:cs="Times New Roman"/>
          <w:sz w:val="24"/>
          <w:szCs w:val="24"/>
        </w:rPr>
        <w:t>o emisji i emisja materiału informacyjnego na stronie portalu internetowego;</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 xml:space="preserve">koszty przygotowania i dystrybucji materiału informacyjnego na konkurs, imprezę o charakterze rolniczym np. koszt opracowania graficznego i przygotowania </w:t>
      </w:r>
      <w:r>
        <w:rPr>
          <w:rFonts w:ascii="Times New Roman" w:hAnsi="Times New Roman" w:cs="Times New Roman"/>
          <w:sz w:val="24"/>
          <w:szCs w:val="24"/>
        </w:rPr>
        <w:br/>
        <w:t>do druku, druku i dystry</w:t>
      </w:r>
      <w:r>
        <w:rPr>
          <w:rFonts w:ascii="Times New Roman" w:hAnsi="Times New Roman" w:cs="Times New Roman"/>
          <w:sz w:val="24"/>
          <w:szCs w:val="24"/>
        </w:rPr>
        <w:t xml:space="preserve">bucji podczas konkursu/imprezy; </w:t>
      </w:r>
    </w:p>
    <w:p w:rsidR="003B68F1" w:rsidRDefault="00511C98">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materiałów promocyjnych;</w:t>
      </w:r>
    </w:p>
    <w:p w:rsidR="003B68F1" w:rsidRDefault="00511C98">
      <w:pPr>
        <w:pStyle w:val="Akapitzlist"/>
        <w:numPr>
          <w:ilvl w:val="0"/>
          <w:numId w:val="18"/>
        </w:numPr>
        <w:spacing w:before="60" w:after="60"/>
        <w:ind w:left="709" w:hanging="425"/>
        <w:jc w:val="both"/>
        <w:rPr>
          <w:rFonts w:ascii="Times New Roman" w:eastAsia="Calibri" w:hAnsi="Times New Roman" w:cs="Times New Roman"/>
          <w:sz w:val="24"/>
          <w:szCs w:val="24"/>
        </w:rPr>
      </w:pPr>
      <w:r>
        <w:rPr>
          <w:rFonts w:ascii="Times New Roman" w:hAnsi="Times New Roman" w:cs="Times New Roman"/>
          <w:sz w:val="24"/>
          <w:szCs w:val="24"/>
        </w:rPr>
        <w:t>koszty</w:t>
      </w:r>
      <w:r>
        <w:rPr>
          <w:rFonts w:ascii="Times New Roman" w:eastAsia="Calibri" w:hAnsi="Times New Roman" w:cs="Times New Roman"/>
          <w:sz w:val="24"/>
          <w:szCs w:val="24"/>
        </w:rPr>
        <w:t xml:space="preserve"> nagród rzeczowych dla laureatów konkursu;</w:t>
      </w:r>
    </w:p>
    <w:p w:rsidR="003B68F1" w:rsidRDefault="00511C98">
      <w:pPr>
        <w:pStyle w:val="Akapitzlist"/>
        <w:numPr>
          <w:ilvl w:val="0"/>
          <w:numId w:val="18"/>
        </w:numPr>
        <w:spacing w:before="60" w:after="60"/>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koszt koordynatora projektu (gdy dane zadanie ma związek z merytoryczną częścią realizacji operacji np. koszt rekrutacji uczestników grupy </w:t>
      </w:r>
      <w:r>
        <w:rPr>
          <w:rFonts w:ascii="Times New Roman" w:eastAsia="Calibri" w:hAnsi="Times New Roman" w:cs="Times New Roman"/>
          <w:sz w:val="24"/>
          <w:szCs w:val="24"/>
        </w:rPr>
        <w:t>docelowej);</w:t>
      </w:r>
    </w:p>
    <w:p w:rsidR="003B68F1" w:rsidRDefault="00511C98">
      <w:pPr>
        <w:pStyle w:val="Akapitzlist"/>
        <w:numPr>
          <w:ilvl w:val="0"/>
          <w:numId w:val="18"/>
        </w:numPr>
        <w:spacing w:before="60" w:after="60"/>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koszt uzyskania świadczeń.</w:t>
      </w:r>
    </w:p>
    <w:p w:rsidR="003B68F1" w:rsidRDefault="003B68F1">
      <w:pPr>
        <w:spacing w:before="60" w:after="60"/>
        <w:ind w:left="284" w:hanging="436"/>
        <w:contextualSpacing/>
        <w:jc w:val="both"/>
        <w:rPr>
          <w:rFonts w:ascii="Times New Roman" w:eastAsia="Calibri" w:hAnsi="Times New Roman" w:cs="Times New Roman"/>
          <w:sz w:val="24"/>
          <w:szCs w:val="24"/>
        </w:rPr>
      </w:pPr>
    </w:p>
    <w:p w:rsidR="003B68F1" w:rsidRDefault="00511C98">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Materiały promocyjne są kwalifikowalne jeżeli spełniają następujące warunki:</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są ujęte w budżecie operacji i stanowią jedną ze składowych operacji;</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CDR i ODR działania informacyjne i  promocyjne w ramach SIR są realizowane jako operacje własne w ramach działania 2 Planu działania KSOW </w:t>
      </w:r>
      <w:r>
        <w:rPr>
          <w:rFonts w:ascii="Times New Roman" w:eastAsia="Calibri" w:hAnsi="Times New Roman" w:cs="Times New Roman"/>
          <w:i/>
          <w:sz w:val="24"/>
          <w:szCs w:val="24"/>
        </w:rPr>
        <w:lastRenderedPageBreak/>
        <w:t>Działania na rzecz tworzenia sieci kontaktów dla doradców i służb wspierających wdrażanie innowacji na obs</w:t>
      </w:r>
      <w:r>
        <w:rPr>
          <w:rFonts w:ascii="Times New Roman" w:eastAsia="Calibri" w:hAnsi="Times New Roman" w:cs="Times New Roman"/>
          <w:i/>
          <w:sz w:val="24"/>
          <w:szCs w:val="24"/>
        </w:rPr>
        <w:t>zarach wiejskich</w:t>
      </w:r>
      <w:r>
        <w:rPr>
          <w:rFonts w:ascii="Times New Roman" w:eastAsia="Calibri" w:hAnsi="Times New Roman" w:cs="Times New Roman"/>
          <w:sz w:val="24"/>
          <w:szCs w:val="24"/>
        </w:rPr>
        <w:t>;</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nie są realizowane jako samodzielna operacja.</w:t>
      </w:r>
    </w:p>
    <w:p w:rsidR="003B68F1" w:rsidRDefault="003B68F1">
      <w:pPr>
        <w:spacing w:before="60" w:after="60"/>
        <w:jc w:val="both"/>
        <w:rPr>
          <w:rFonts w:ascii="Times New Roman" w:eastAsia="Calibri" w:hAnsi="Times New Roman" w:cs="Times New Roman"/>
          <w:sz w:val="24"/>
          <w:szCs w:val="24"/>
        </w:rPr>
      </w:pPr>
    </w:p>
    <w:p w:rsidR="003B68F1" w:rsidRDefault="00511C98">
      <w:pPr>
        <w:spacing w:before="60" w:after="60"/>
        <w:jc w:val="both"/>
        <w:rPr>
          <w:rFonts w:ascii="Times New Roman" w:hAnsi="Times New Roman" w:cs="Times New Roman"/>
          <w:b/>
          <w:sz w:val="24"/>
          <w:szCs w:val="24"/>
        </w:rPr>
      </w:pPr>
      <w:r>
        <w:rPr>
          <w:rFonts w:ascii="Times New Roman" w:hAnsi="Times New Roman" w:cs="Times New Roman"/>
          <w:b/>
          <w:sz w:val="24"/>
          <w:szCs w:val="24"/>
        </w:rPr>
        <w:t>1.2. Koszty podróży służbowych oraz przejazdów, dojazdów środkami komunikacji miejscowej i noclegów poniesione przez inne osoby w związku z realizacją operacji</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Kosztami kwalifikowalnymi są ko</w:t>
      </w:r>
      <w:r>
        <w:rPr>
          <w:rFonts w:ascii="Times New Roman" w:hAnsi="Times New Roman" w:cs="Times New Roman"/>
          <w:sz w:val="24"/>
          <w:szCs w:val="24"/>
        </w:rPr>
        <w:t xml:space="preserve">szty przejazdów, dojazdów środkami komunikacji miejscowej oraz noclegów poniesione przez osoby w związku z realizacją operacji ujętej </w:t>
      </w:r>
      <w:r>
        <w:rPr>
          <w:rFonts w:ascii="Times New Roman" w:hAnsi="Times New Roman" w:cs="Times New Roman"/>
          <w:sz w:val="24"/>
          <w:szCs w:val="24"/>
        </w:rPr>
        <w:br/>
        <w:t xml:space="preserve">w zaakceptowanym przez Grupę Roboczą ds. KSOW dwuletnim planie operacyjnym.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Koszty przejazdów środkami komunikacji publi</w:t>
      </w:r>
      <w:r>
        <w:rPr>
          <w:rFonts w:ascii="Times New Roman" w:hAnsi="Times New Roman" w:cs="Times New Roman"/>
          <w:sz w:val="24"/>
          <w:szCs w:val="24"/>
        </w:rPr>
        <w:t>cznej powinny wynikać z aktualnego taryfikatora przejazdów kolejowych, autokarowych, autobusowych itp. W przypadku podróży samochodami służbowymi oraz samochodami prywatnymi wykorzystywanymi do celów służbowych na potrzeby realizacji operacji, koszty z nim</w:t>
      </w:r>
      <w:r>
        <w:rPr>
          <w:rFonts w:ascii="Times New Roman" w:hAnsi="Times New Roman" w:cs="Times New Roman"/>
          <w:sz w:val="24"/>
          <w:szCs w:val="24"/>
        </w:rPr>
        <w:t xml:space="preserve">i związane należy rozliczyć </w:t>
      </w:r>
      <w:r>
        <w:rPr>
          <w:rFonts w:ascii="Times New Roman" w:hAnsi="Times New Roman" w:cs="Times New Roman"/>
          <w:sz w:val="24"/>
          <w:szCs w:val="24"/>
        </w:rPr>
        <w:br/>
        <w:t>na podstawie dokumentacji dotyczącej podróży, tj. należy uwzględnić datę wyjazdu, opis trasy (skąd – dokąd), cel wyjazdu, liczbę przejechanych kilometrów, stawkę za 1 km przebiegu (wg stawek za kilometr zgodnych z obowiązującym</w:t>
      </w:r>
      <w:r>
        <w:rPr>
          <w:rFonts w:ascii="Times New Roman" w:hAnsi="Times New Roman" w:cs="Times New Roman"/>
          <w:sz w:val="24"/>
          <w:szCs w:val="24"/>
        </w:rPr>
        <w:t>i przepisami), całkowity koszt przejazdu, numer rejestracyjny pojazdu oraz pojemność i rodzaj silnika. Użycie samochodu jako środka transportu i przedstawienie wynikających z tego kosztów jako kwalifikowalnych zasadne jest wtedy, gdy nie istnieje inna, bar</w:t>
      </w:r>
      <w:r>
        <w:rPr>
          <w:rFonts w:ascii="Times New Roman" w:hAnsi="Times New Roman" w:cs="Times New Roman"/>
          <w:sz w:val="24"/>
          <w:szCs w:val="24"/>
        </w:rPr>
        <w:t>dziej racjonalna możliwość przejazdu, co należy wyjaśnić w uzasadnieniu do wniosku. W przypadku korzystania z przejazdów kolejowych, autokarowych lub autobusowych, należy przedstawić dokumenty poświadczające odbycie podróży (bilet). Za kwalifikowalne uznaw</w:t>
      </w:r>
      <w:r>
        <w:rPr>
          <w:rFonts w:ascii="Times New Roman" w:hAnsi="Times New Roman" w:cs="Times New Roman"/>
          <w:sz w:val="24"/>
          <w:szCs w:val="24"/>
        </w:rPr>
        <w:t xml:space="preserve">ane będą koszty, które są racjonalne. W przypadku przejazdów kolejowych, podróże takie powinny odbywać się w II klasie. W wyjątkowych przypadkach możliwa jest refundacja kosztów biletów kolejowych zakupionych w I klasie. Dotyczy to sytuacji, w której brak </w:t>
      </w:r>
      <w:r>
        <w:rPr>
          <w:rFonts w:ascii="Times New Roman" w:hAnsi="Times New Roman" w:cs="Times New Roman"/>
          <w:sz w:val="24"/>
          <w:szCs w:val="24"/>
        </w:rPr>
        <w:t>było możliwości zakupu na dane połączenie i w danym terminie biletów innych niż w I klasie.</w:t>
      </w:r>
    </w:p>
    <w:p w:rsidR="003B68F1" w:rsidRDefault="003B68F1">
      <w:pPr>
        <w:spacing w:before="60" w:after="60"/>
        <w:jc w:val="both"/>
        <w:rPr>
          <w:rFonts w:ascii="Times New Roman" w:hAnsi="Times New Roman" w:cs="Times New Roman"/>
          <w:sz w:val="24"/>
          <w:szCs w:val="24"/>
        </w:rPr>
      </w:pPr>
    </w:p>
    <w:p w:rsidR="003B68F1" w:rsidRDefault="00511C98">
      <w:pPr>
        <w:spacing w:before="60" w:after="60"/>
        <w:jc w:val="both"/>
        <w:rPr>
          <w:rFonts w:ascii="Times New Roman" w:hAnsi="Times New Roman" w:cs="Times New Roman"/>
          <w:b/>
          <w:sz w:val="24"/>
          <w:szCs w:val="24"/>
        </w:rPr>
      </w:pPr>
      <w:r>
        <w:rPr>
          <w:rFonts w:ascii="Times New Roman" w:hAnsi="Times New Roman" w:cs="Times New Roman"/>
          <w:b/>
          <w:sz w:val="24"/>
          <w:szCs w:val="24"/>
        </w:rPr>
        <w:t>1.3 Koszty nagród finansowych dla laureatów konkursów</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te </w:t>
      </w:r>
      <w:r>
        <w:rPr>
          <w:rFonts w:ascii="Times" w:hAnsi="Times" w:cs="Arial"/>
          <w:bCs/>
          <w:sz w:val="24"/>
          <w:szCs w:val="20"/>
        </w:rPr>
        <w:t xml:space="preserve">są kwalifikowalne, jeżeli są uzasadnione zakresem realizowanej operacji, niezbędne  do osiągnięcia </w:t>
      </w:r>
      <w:r>
        <w:rPr>
          <w:rFonts w:ascii="Times" w:hAnsi="Times" w:cs="Arial"/>
          <w:bCs/>
          <w:sz w:val="24"/>
          <w:szCs w:val="20"/>
        </w:rPr>
        <w:t xml:space="preserve">jej celu oraz racjonalne. </w:t>
      </w:r>
      <w:r>
        <w:rPr>
          <w:rFonts w:ascii="Times New Roman" w:hAnsi="Times New Roman" w:cs="Times New Roman"/>
          <w:sz w:val="24"/>
          <w:szCs w:val="24"/>
        </w:rPr>
        <w:t xml:space="preserve">Nagrody pieniężne dla uczestników w konkursach mogą zostać uznane za koszt kwalifikowalny, o ile zostały przewidziane w operacji ujętej </w:t>
      </w:r>
      <w:r>
        <w:rPr>
          <w:rFonts w:ascii="Times New Roman" w:hAnsi="Times New Roman" w:cs="Times New Roman"/>
          <w:sz w:val="24"/>
          <w:szCs w:val="24"/>
        </w:rPr>
        <w:br/>
        <w:t>w dwuletnim planie operacyjnym, zaakceptowanym przez Grupę Roboczą ds. KSOW. Koszty nagród pi</w:t>
      </w:r>
      <w:r>
        <w:rPr>
          <w:rFonts w:ascii="Times New Roman" w:hAnsi="Times New Roman" w:cs="Times New Roman"/>
          <w:sz w:val="24"/>
          <w:szCs w:val="24"/>
        </w:rPr>
        <w:t xml:space="preserve">eniężnych są kwalifikowalne tylko wtedy, gdy nagrody te zostały przyznane laureatom konkursu. Jeżeli otrzymają je również pozostali uczestnicy konkursu, którzy nie są jego laureatami, wówczas koszt tych nagród będzie niekwalifikowalny. </w:t>
      </w:r>
    </w:p>
    <w:p w:rsidR="003B68F1" w:rsidRDefault="003B68F1">
      <w:pPr>
        <w:spacing w:before="60" w:after="60"/>
        <w:jc w:val="both"/>
        <w:rPr>
          <w:rFonts w:ascii="Times New Roman" w:hAnsi="Times New Roman" w:cs="Times New Roman"/>
          <w:b/>
          <w:sz w:val="24"/>
          <w:szCs w:val="24"/>
        </w:rPr>
      </w:pPr>
    </w:p>
    <w:p w:rsidR="003B68F1" w:rsidRDefault="00511C98">
      <w:pPr>
        <w:spacing w:before="60" w:after="60"/>
        <w:jc w:val="both"/>
        <w:rPr>
          <w:rFonts w:ascii="Times New Roman" w:hAnsi="Times New Roman" w:cs="Times New Roman"/>
          <w:b/>
          <w:sz w:val="24"/>
          <w:szCs w:val="24"/>
        </w:rPr>
      </w:pPr>
      <w:r>
        <w:rPr>
          <w:rFonts w:ascii="Times New Roman" w:hAnsi="Times New Roman" w:cs="Times New Roman"/>
          <w:b/>
          <w:sz w:val="24"/>
          <w:szCs w:val="24"/>
        </w:rPr>
        <w:t xml:space="preserve">1.4 Kwota środków </w:t>
      </w:r>
      <w:r>
        <w:rPr>
          <w:rFonts w:ascii="Times New Roman" w:hAnsi="Times New Roman" w:cs="Times New Roman"/>
          <w:b/>
          <w:sz w:val="24"/>
          <w:szCs w:val="24"/>
        </w:rPr>
        <w:t xml:space="preserve">przekazanych przez podmiot uprawniony partnerowi KSOW </w:t>
      </w:r>
      <w:r>
        <w:rPr>
          <w:rFonts w:ascii="Times New Roman" w:hAnsi="Times New Roman" w:cs="Times New Roman"/>
          <w:b/>
          <w:sz w:val="24"/>
          <w:szCs w:val="24"/>
        </w:rPr>
        <w:br/>
        <w:t xml:space="preserve">z tytułu realizacji operacji – jest kwalifikowalna, jeżeli została przeznaczona przez partnera KSOW na pokrycie: </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kosztów dostaw i usług, w tym wynagrodzeń bezosobowych;</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hAnsi="Times New Roman" w:cs="Times New Roman"/>
          <w:sz w:val="24"/>
          <w:szCs w:val="24"/>
        </w:rPr>
        <w:lastRenderedPageBreak/>
        <w:t>koszty wyżywienia (np. catering</w:t>
      </w:r>
      <w:r>
        <w:rPr>
          <w:rFonts w:ascii="Times New Roman" w:hAnsi="Times New Roman" w:cs="Times New Roman"/>
          <w:sz w:val="24"/>
          <w:szCs w:val="24"/>
        </w:rPr>
        <w:t xml:space="preserve"> lub zakup artykułów spożywczych) niezbędne do przygotowania poczęstunku w przypadku organizowania szkoleń, konferencji, spotkań  itp. W przypadku gdy faktyczna liczba uczestników, która wzięła udział w wydarzeniu, jest mniejsza o nie więcej niż 15% liczby</w:t>
      </w:r>
      <w:r>
        <w:rPr>
          <w:rFonts w:ascii="Times New Roman" w:hAnsi="Times New Roman" w:cs="Times New Roman"/>
          <w:sz w:val="24"/>
          <w:szCs w:val="24"/>
        </w:rPr>
        <w:t xml:space="preserve"> uczestników deklarujących swój udział (przy dochowaniu należytej staranności przez organizatora wydarzenia na etapie jego planowania i rekrutacji uczestników), wówczas za koszt kwalifikowalny uznaje się koszt usługi cateringowej w całości wynikający z dek</w:t>
      </w:r>
      <w:r>
        <w:rPr>
          <w:rFonts w:ascii="Times New Roman" w:hAnsi="Times New Roman" w:cs="Times New Roman"/>
          <w:sz w:val="24"/>
          <w:szCs w:val="24"/>
        </w:rPr>
        <w:t>larowanego udziału, na podstawie wystawionej i opłaconej faktury lub równoważnego dokumentu.</w:t>
      </w:r>
    </w:p>
    <w:p w:rsidR="003B68F1" w:rsidRDefault="00511C98">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W wydarzeniu udział zadeklarowało 100 osób, a faktycznie udział wzięło 87 osób. Zatem faktyczna liczba uczestników, która nie wzięła udziału w wydarzeni</w:t>
      </w:r>
      <w:r>
        <w:rPr>
          <w:rFonts w:ascii="Times New Roman" w:hAnsi="Times New Roman" w:cs="Times New Roman"/>
          <w:sz w:val="24"/>
          <w:szCs w:val="24"/>
        </w:rPr>
        <w:t xml:space="preserve">u, jest mniejsza o nie więcej niż 15% (wynosi 13%) liczby uczestników deklarujących swój udział. Zatem koszt cateringu dla 100 osób, wynikający z wystawionej i opłaconej faktury / równoważnego dokumentu, jest kwalifikowalny w 100%. </w:t>
      </w:r>
    </w:p>
    <w:p w:rsidR="003B68F1" w:rsidRDefault="00511C98">
      <w:pPr>
        <w:pStyle w:val="Akapitzlist"/>
        <w:spacing w:before="60" w:after="60"/>
        <w:ind w:left="1068"/>
        <w:jc w:val="both"/>
        <w:rPr>
          <w:rFonts w:ascii="Times New Roman" w:hAnsi="Times New Roman" w:cs="Times New Roman"/>
          <w:b/>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W wydarzeniu</w:t>
      </w:r>
      <w:r>
        <w:rPr>
          <w:rFonts w:ascii="Times New Roman" w:hAnsi="Times New Roman" w:cs="Times New Roman"/>
          <w:sz w:val="24"/>
          <w:szCs w:val="24"/>
        </w:rPr>
        <w:t xml:space="preserve"> udział zadeklarowało 100 osób, a faktycznie udział wzięły 83 osoby. Zatem faktyczna liczba uczestników, która nie wzięła udziału </w:t>
      </w:r>
      <w:r>
        <w:rPr>
          <w:rFonts w:ascii="Times New Roman" w:hAnsi="Times New Roman" w:cs="Times New Roman"/>
          <w:sz w:val="24"/>
          <w:szCs w:val="24"/>
        </w:rPr>
        <w:br/>
        <w:t>w wydarzeniu, jest większa od 15% (wynosi 17%) liczby uczestników deklarujących swój udział. Zatem koszt cateringu dla 100 os</w:t>
      </w:r>
      <w:r>
        <w:rPr>
          <w:rFonts w:ascii="Times New Roman" w:hAnsi="Times New Roman" w:cs="Times New Roman"/>
          <w:sz w:val="24"/>
          <w:szCs w:val="24"/>
        </w:rPr>
        <w:t xml:space="preserve">ób, wynikający </w:t>
      </w:r>
      <w:r>
        <w:rPr>
          <w:rFonts w:ascii="Times New Roman" w:hAnsi="Times New Roman" w:cs="Times New Roman"/>
          <w:sz w:val="24"/>
          <w:szCs w:val="24"/>
        </w:rPr>
        <w:br/>
        <w:t>z wystawionej i opłaconej faktury / równoważnego dokumentu, powinien być pomniejszony o koszt dot. 2 osób (100 – 15 [dopuszczalny limit] – 83));</w:t>
      </w:r>
    </w:p>
    <w:p w:rsidR="003B68F1" w:rsidRDefault="00511C98">
      <w:pPr>
        <w:pStyle w:val="Akapitzlist"/>
        <w:numPr>
          <w:ilvl w:val="0"/>
          <w:numId w:val="19"/>
        </w:numPr>
        <w:spacing w:before="60" w:after="60"/>
        <w:jc w:val="both"/>
        <w:rPr>
          <w:rFonts w:ascii="Times New Roman" w:hAnsi="Times New Roman" w:cs="Times New Roman"/>
          <w:sz w:val="24"/>
          <w:szCs w:val="24"/>
        </w:rPr>
      </w:pPr>
      <w:r>
        <w:rPr>
          <w:rFonts w:ascii="Times New Roman" w:eastAsia="Calibri" w:hAnsi="Times New Roman" w:cs="Times New Roman"/>
          <w:sz w:val="24"/>
          <w:szCs w:val="24"/>
        </w:rPr>
        <w:t xml:space="preserve">kosztów podróży służbowych pracowników partnera KSOW, w tym diet wypłaconych temu pracownikowi </w:t>
      </w:r>
      <w:r>
        <w:rPr>
          <w:rFonts w:ascii="Times New Roman" w:eastAsia="Calibri" w:hAnsi="Times New Roman" w:cs="Times New Roman"/>
          <w:sz w:val="24"/>
          <w:szCs w:val="24"/>
        </w:rPr>
        <w:t xml:space="preserve">z tytułu podróży służbowej, a także przejazdów, dojazdów środkami komunikacji miejscowej i noclegów poniesionych przez inne osoby w związku z realizacją operacji. </w:t>
      </w:r>
      <w:r>
        <w:rPr>
          <w:rFonts w:ascii="Times New Roman" w:hAnsi="Times New Roman" w:cs="Times New Roman"/>
          <w:sz w:val="24"/>
          <w:szCs w:val="24"/>
        </w:rPr>
        <w:t>W przypadku gdy faktyczna liczba uczestników, która została zgłoszona do korzystania z usługi</w:t>
      </w:r>
      <w:r>
        <w:rPr>
          <w:rFonts w:ascii="Times New Roman" w:hAnsi="Times New Roman" w:cs="Times New Roman"/>
          <w:sz w:val="24"/>
          <w:szCs w:val="24"/>
        </w:rPr>
        <w:t xml:space="preserve"> noclegu, jest mniejsza o nie więcej niż 15% liczby uczestników deklarujących swój udział (przy dochowaniu należytej staranności przez organizatora wydarzenia na etapie jego planowania i rekrutacji uczestników), wówczas za koszt kwalifikowalny uznaje się k</w:t>
      </w:r>
      <w:r>
        <w:rPr>
          <w:rFonts w:ascii="Times New Roman" w:hAnsi="Times New Roman" w:cs="Times New Roman"/>
          <w:sz w:val="24"/>
          <w:szCs w:val="24"/>
        </w:rPr>
        <w:t xml:space="preserve">oszt usługi noclegowej w całości wynikający z deklarowanego udziału, na podstawie wystawionej i opłaconej faktury lub równoważnego dokumentu. </w:t>
      </w: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w:t>
      </w:r>
      <w:r>
        <w:rPr>
          <w:rFonts w:ascii="Times New Roman" w:hAnsi="Times New Roman" w:cs="Times New Roman"/>
          <w:sz w:val="24"/>
          <w:szCs w:val="24"/>
        </w:rPr>
        <w:t xml:space="preserve">uczestników, która nie wzięła udziału </w:t>
      </w:r>
      <w:r>
        <w:rPr>
          <w:rFonts w:ascii="Times New Roman" w:hAnsi="Times New Roman" w:cs="Times New Roman"/>
          <w:sz w:val="24"/>
          <w:szCs w:val="24"/>
        </w:rPr>
        <w:br/>
        <w:t>w wydarzeniu, jest mniejsza o nie więcej niż 15% (wynosi 13%) liczby uczestników deklarujących swój udział. Zatem koszt usługi noclegowej dla 100 osób, wynikający z wystawionej i opłaconej faktury / równoważnego dokum</w:t>
      </w:r>
      <w:r>
        <w:rPr>
          <w:rFonts w:ascii="Times New Roman" w:hAnsi="Times New Roman" w:cs="Times New Roman"/>
          <w:sz w:val="24"/>
          <w:szCs w:val="24"/>
        </w:rPr>
        <w:t xml:space="preserve">entu, jest kwalifikowalny w 100%.). </w:t>
      </w:r>
    </w:p>
    <w:p w:rsidR="003B68F1" w:rsidRDefault="00511C98">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83 osoby. Zatem faktyczna liczba uczestników, która nie wzięła udziału w wydarzeniu, jest większa od 15% (wynosi 17%) liczby uczestników </w:t>
      </w:r>
      <w:r>
        <w:rPr>
          <w:rFonts w:ascii="Times New Roman" w:hAnsi="Times New Roman" w:cs="Times New Roman"/>
          <w:sz w:val="24"/>
          <w:szCs w:val="24"/>
        </w:rPr>
        <w:t xml:space="preserve">deklarujących swój udział. Zatem koszt usługi noclegowej dla 100 osób, wynikający z wystawionej i opłaconej faktury / równoważnego dokumentu, </w:t>
      </w:r>
      <w:r>
        <w:rPr>
          <w:rFonts w:ascii="Times New Roman" w:hAnsi="Times New Roman" w:cs="Times New Roman"/>
          <w:sz w:val="24"/>
          <w:szCs w:val="24"/>
        </w:rPr>
        <w:lastRenderedPageBreak/>
        <w:t>powinien być pomniejszony o koszt dot. 2 osób (100 – 15 [dopuszczalny limit] – 83));</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kosztów tzw. zużywalnych (jed</w:t>
      </w:r>
      <w:r>
        <w:rPr>
          <w:rFonts w:ascii="Times New Roman" w:eastAsia="Calibri" w:hAnsi="Times New Roman" w:cs="Times New Roman"/>
          <w:sz w:val="24"/>
          <w:szCs w:val="24"/>
        </w:rPr>
        <w:t xml:space="preserve">norazowych) materiałów np. ubrań ochronnych, odczynników do przeprowadzenia badania podczas warsztatów itp.; </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koszty utrzymania </w:t>
      </w:r>
      <w:proofErr w:type="spellStart"/>
      <w:r>
        <w:rPr>
          <w:rFonts w:ascii="Times New Roman" w:eastAsia="Calibri" w:hAnsi="Times New Roman" w:cs="Times New Roman"/>
          <w:sz w:val="24"/>
          <w:szCs w:val="24"/>
        </w:rPr>
        <w:t>sal</w:t>
      </w:r>
      <w:proofErr w:type="spellEnd"/>
      <w:r>
        <w:rPr>
          <w:rFonts w:ascii="Times New Roman" w:eastAsia="Calibri" w:hAnsi="Times New Roman" w:cs="Times New Roman"/>
          <w:sz w:val="24"/>
          <w:szCs w:val="24"/>
        </w:rPr>
        <w:t xml:space="preserve">, do których można zaliczyć koszty: centralnego ogrzewania, energii elektrycznej, dostarczenia wody i odprowadzenia ścieków, </w:t>
      </w:r>
      <w:r>
        <w:rPr>
          <w:rFonts w:ascii="Times New Roman" w:eastAsia="Calibri" w:hAnsi="Times New Roman" w:cs="Times New Roman"/>
          <w:sz w:val="24"/>
          <w:szCs w:val="24"/>
        </w:rPr>
        <w:t>sprzątania pomieszczeń i ochrony obiektu – koszt udokumentowany rachunkiem wewnętrznym nie jest kwalifikowalny;</w:t>
      </w:r>
    </w:p>
    <w:p w:rsidR="003B68F1" w:rsidRDefault="00511C98">
      <w:pPr>
        <w:pStyle w:val="Akapitzlist"/>
        <w:numPr>
          <w:ilvl w:val="0"/>
          <w:numId w:val="19"/>
        </w:numPr>
        <w:spacing w:before="60" w:after="60"/>
        <w:jc w:val="both"/>
        <w:rPr>
          <w:rFonts w:ascii="Times New Roman" w:hAnsi="Times New Roman" w:cs="Times New Roman"/>
          <w:sz w:val="24"/>
          <w:szCs w:val="24"/>
        </w:rPr>
      </w:pPr>
      <w:r>
        <w:rPr>
          <w:rFonts w:ascii="Times New Roman" w:eastAsia="Calibri" w:hAnsi="Times New Roman" w:cs="Times New Roman"/>
          <w:sz w:val="24"/>
          <w:szCs w:val="24"/>
        </w:rPr>
        <w:t>kosztów</w:t>
      </w:r>
      <w:r>
        <w:rPr>
          <w:rFonts w:ascii="Times New Roman" w:hAnsi="Times New Roman" w:cs="Times New Roman"/>
          <w:sz w:val="24"/>
          <w:szCs w:val="24"/>
        </w:rPr>
        <w:t xml:space="preserve"> nagród finansowych dla laureatów konkursów.</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te muszą być uzasadnione zakresem operacji i niezbędne do osiągnięcia jej celu oraz </w:t>
      </w:r>
      <w:r>
        <w:rPr>
          <w:rFonts w:ascii="Times New Roman" w:hAnsi="Times New Roman" w:cs="Times New Roman"/>
          <w:sz w:val="24"/>
          <w:szCs w:val="24"/>
        </w:rPr>
        <w:t>racjonalne.</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Do kosztów kwalifikowalnych nie można jednak zaliczyć kosztów zakupu materiałów/sprzętów, niezależnie od ich wartości, jeżeli pozostają w posiadaniu partnera KSOW po przeprowadzeniu operacji i mogłyby stanowić jego majątek.</w:t>
      </w:r>
    </w:p>
    <w:p w:rsidR="003B68F1" w:rsidRDefault="00511C98">
      <w:pPr>
        <w:pStyle w:val="Akapitzlist"/>
        <w:numPr>
          <w:ilvl w:val="3"/>
          <w:numId w:val="12"/>
        </w:numPr>
        <w:spacing w:before="60" w:after="6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Koszty podlegające </w:t>
      </w:r>
      <w:r>
        <w:rPr>
          <w:rFonts w:ascii="Times New Roman" w:hAnsi="Times New Roman" w:cs="Times New Roman"/>
          <w:b/>
          <w:sz w:val="24"/>
          <w:szCs w:val="24"/>
        </w:rPr>
        <w:t>refundacji w ramach schematu II d</w:t>
      </w:r>
      <w:r>
        <w:rPr>
          <w:rFonts w:ascii="Times New Roman" w:hAnsi="Times New Roman" w:cs="Times New Roman"/>
          <w:b/>
          <w:bCs/>
          <w:sz w:val="24"/>
          <w:szCs w:val="24"/>
        </w:rPr>
        <w:t>la działania 8 – Plan komunikacyjny PROW 2014-2020</w:t>
      </w:r>
    </w:p>
    <w:p w:rsidR="003B68F1" w:rsidRDefault="00511C98">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Pr>
          <w:rFonts w:ascii="Times New Roman" w:hAnsi="Times New Roman" w:cs="Times New Roman"/>
          <w:b/>
          <w:sz w:val="24"/>
          <w:szCs w:val="24"/>
        </w:rPr>
        <w:t>Koszty dostaw i usług obejmują w szczególności:</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przygotowania, druku i dystrybucji publikacji (foldery, ulotki, broszury itp.);</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przygotowania, zamieszczen</w:t>
      </w:r>
      <w:r>
        <w:rPr>
          <w:rFonts w:ascii="Times New Roman" w:hAnsi="Times New Roman" w:cs="Times New Roman"/>
          <w:sz w:val="24"/>
          <w:szCs w:val="24"/>
        </w:rPr>
        <w:t xml:space="preserve">ia i dystrybucji materiału informacyjnego </w:t>
      </w:r>
      <w:r>
        <w:rPr>
          <w:rFonts w:ascii="Times New Roman" w:hAnsi="Times New Roman" w:cs="Times New Roman"/>
          <w:sz w:val="24"/>
          <w:szCs w:val="24"/>
        </w:rPr>
        <w:br/>
        <w:t>w prasie (artykuł) np. koszty opracowania graficznego i przygotowania do druku oraz zamieszczenia artykułu w prasie (dziennik, tygodnik, miesięcznik itp.);</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przygotowania i emisji materiału informacyjnego w </w:t>
      </w:r>
      <w:r>
        <w:rPr>
          <w:rFonts w:ascii="Times New Roman" w:hAnsi="Times New Roman" w:cs="Times New Roman"/>
          <w:sz w:val="24"/>
          <w:szCs w:val="24"/>
        </w:rPr>
        <w:t>internecie (np. artykuł) np. koszty opracowania graficznego, przygotowania do emisji i emisja na stronie portalu internetowego;</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przygotowania i dystrybucji materiału informacyjnego na konkurs, imprezę </w:t>
      </w:r>
      <w:r>
        <w:rPr>
          <w:rFonts w:ascii="Times New Roman" w:hAnsi="Times New Roman" w:cs="Times New Roman"/>
          <w:sz w:val="24"/>
          <w:szCs w:val="24"/>
        </w:rPr>
        <w:br/>
        <w:t>o charakterze rolniczym np. koszt opracowania g</w:t>
      </w:r>
      <w:r>
        <w:rPr>
          <w:rFonts w:ascii="Times New Roman" w:hAnsi="Times New Roman" w:cs="Times New Roman"/>
          <w:sz w:val="24"/>
          <w:szCs w:val="24"/>
        </w:rPr>
        <w:t xml:space="preserve">raficznego i przygotowania </w:t>
      </w:r>
      <w:r>
        <w:rPr>
          <w:rFonts w:ascii="Times New Roman" w:hAnsi="Times New Roman" w:cs="Times New Roman"/>
          <w:sz w:val="24"/>
          <w:szCs w:val="24"/>
        </w:rPr>
        <w:br/>
        <w:t xml:space="preserve">do druku, druku i dystrybucji podczas konkursu/imprezy; </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przygotowania i dystrybucji materiału w mediach (film, reklama, reportaż, audycja, felieton, program) np. koszty opracowania scenariusza, nagrania materiału zdjęcio</w:t>
      </w:r>
      <w:r>
        <w:rPr>
          <w:rFonts w:ascii="Times New Roman" w:hAnsi="Times New Roman" w:cs="Times New Roman"/>
          <w:sz w:val="24"/>
          <w:szCs w:val="24"/>
        </w:rPr>
        <w:t>wego, montaż, emisja, dostarczenie do zamawiającego materiału w wersji umożliwiającej emisję w telewizji i na portalach internetowych;</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przygotowania i dystrybucji materiału informacyjnego radiowego (audycja, program, reportaż) np. koszty opracowania</w:t>
      </w:r>
      <w:r>
        <w:rPr>
          <w:rFonts w:ascii="Times New Roman" w:hAnsi="Times New Roman" w:cs="Times New Roman"/>
          <w:sz w:val="24"/>
          <w:szCs w:val="24"/>
        </w:rPr>
        <w:t xml:space="preserve"> scenariusza, nagrania materiału, montaż, emisja, dostarczenie do zamawiającego materiału w wersji umożliwiającej emisję w mediach;</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graficznego przygotowania i druku prezentacji, materiałów szkoleniowych/ konferencyjnych, ankiet;</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rekrutacji u</w:t>
      </w:r>
      <w:r>
        <w:rPr>
          <w:rFonts w:ascii="Times New Roman" w:hAnsi="Times New Roman" w:cs="Times New Roman"/>
          <w:sz w:val="24"/>
          <w:szCs w:val="24"/>
        </w:rPr>
        <w:t>czestników konferencji, spotkań, szkoleń, warsztatów, seminariów dla beneficjentów i potencjalnych beneficjentów Programu;</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usług pocztowych oraz kurierskich;</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koszty tłumaczenia;</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usług kserograficznych;</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wynajęcie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sprzętu multimedialnego i</w:t>
      </w:r>
      <w:r>
        <w:rPr>
          <w:rFonts w:ascii="Times New Roman" w:hAnsi="Times New Roman" w:cs="Times New Roman"/>
          <w:sz w:val="24"/>
          <w:szCs w:val="24"/>
        </w:rPr>
        <w:t xml:space="preserve"> nagłośnienia;</w:t>
      </w:r>
    </w:p>
    <w:p w:rsidR="003B68F1" w:rsidRDefault="00511C98">
      <w:pPr>
        <w:pStyle w:val="Akapitzlist"/>
        <w:numPr>
          <w:ilvl w:val="0"/>
          <w:numId w:val="20"/>
        </w:numPr>
        <w:spacing w:before="60" w:after="60"/>
        <w:jc w:val="both"/>
        <w:rPr>
          <w:rFonts w:ascii="Times New Roman" w:eastAsia="Calibri" w:hAnsi="Times New Roman" w:cs="Times New Roman"/>
          <w:sz w:val="24"/>
          <w:szCs w:val="24"/>
        </w:rPr>
      </w:pPr>
      <w:r>
        <w:rPr>
          <w:rFonts w:ascii="Times New Roman" w:hAnsi="Times New Roman" w:cs="Times New Roman"/>
          <w:sz w:val="24"/>
          <w:szCs w:val="24"/>
        </w:rPr>
        <w:t xml:space="preserve">koszty wyżywienia uczestników konferencji, spotkań, szkoleń, warsztatów </w:t>
      </w:r>
      <w:r>
        <w:rPr>
          <w:rFonts w:ascii="Times New Roman" w:hAnsi="Times New Roman" w:cs="Times New Roman"/>
          <w:sz w:val="24"/>
          <w:szCs w:val="24"/>
        </w:rPr>
        <w:br/>
        <w:t xml:space="preserve">i seminariów dla beneficjentów i potencjalnych beneficjentów Programu. Koszty wyżywienia (np. catering lub zakup artykułów spożywczych) niezbędne </w:t>
      </w:r>
      <w:r>
        <w:rPr>
          <w:rFonts w:ascii="Times New Roman" w:hAnsi="Times New Roman" w:cs="Times New Roman"/>
          <w:sz w:val="24"/>
          <w:szCs w:val="24"/>
        </w:rPr>
        <w:br/>
        <w:t>do przygotowania pocz</w:t>
      </w:r>
      <w:r>
        <w:rPr>
          <w:rFonts w:ascii="Times New Roman" w:hAnsi="Times New Roman" w:cs="Times New Roman"/>
          <w:sz w:val="24"/>
          <w:szCs w:val="24"/>
        </w:rPr>
        <w:t>ęstunku w przypadku organizowania szkoleń, konferencji, spotkań, komitetów itp. W przypadku gdy faktyczna liczba uczestników, która wzięła udział w wydarzeniu, jest mniejsza o nie więcej niż 15% liczby uczestników deklarujących swój udział (przy dochowaniu</w:t>
      </w:r>
      <w:r>
        <w:rPr>
          <w:rFonts w:ascii="Times New Roman" w:hAnsi="Times New Roman" w:cs="Times New Roman"/>
          <w:sz w:val="24"/>
          <w:szCs w:val="24"/>
        </w:rPr>
        <w:t xml:space="preserve"> należytej staranności przez organizatora wydarzenia na etapie jego planowania i rekrutacji uczestników), wówczas za koszt kwalifikowalny uznaje się koszt usługi cateringowej w całości wynikający z deklarowanego udziału, na podstawie wystawionej i opłacone</w:t>
      </w:r>
      <w:r>
        <w:rPr>
          <w:rFonts w:ascii="Times New Roman" w:hAnsi="Times New Roman" w:cs="Times New Roman"/>
          <w:sz w:val="24"/>
          <w:szCs w:val="24"/>
        </w:rPr>
        <w:t>j faktury lub równoważnego dokumentu.</w:t>
      </w:r>
    </w:p>
    <w:p w:rsidR="003B68F1" w:rsidRDefault="00511C98">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uczestników, która nie wzięła udziału w wydarzeniu, jest mniejsza o nie więcej niż 15% (wynosi 13%) licz</w:t>
      </w:r>
      <w:r>
        <w:rPr>
          <w:rFonts w:ascii="Times New Roman" w:hAnsi="Times New Roman" w:cs="Times New Roman"/>
          <w:sz w:val="24"/>
          <w:szCs w:val="24"/>
        </w:rPr>
        <w:t xml:space="preserve">by uczestników deklarujących swój udział. Zatem koszt cateringu dla 100 osób, wynikający z wystawionej i opłaconej faktury / równoważnego dokumentu, jest kwalifikowalny w 100%.). </w:t>
      </w:r>
    </w:p>
    <w:p w:rsidR="003B68F1" w:rsidRDefault="00511C98">
      <w:pPr>
        <w:pStyle w:val="Akapitzlist"/>
        <w:spacing w:before="60" w:after="60"/>
        <w:ind w:left="1068"/>
        <w:jc w:val="both"/>
        <w:rPr>
          <w:rFonts w:ascii="Times New Roman" w:hAnsi="Times New Roman" w:cs="Times New Roman"/>
          <w:b/>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W wydarzeniu udział zadeklarowało 100 osób, a faktycznie udział w</w:t>
      </w:r>
      <w:r>
        <w:rPr>
          <w:rFonts w:ascii="Times New Roman" w:hAnsi="Times New Roman" w:cs="Times New Roman"/>
          <w:sz w:val="24"/>
          <w:szCs w:val="24"/>
        </w:rPr>
        <w:t xml:space="preserve">zięły 83 osoby. Zatem faktyczna liczba uczestników, która nie wzięła udziału </w:t>
      </w:r>
      <w:r>
        <w:rPr>
          <w:rFonts w:ascii="Times New Roman" w:hAnsi="Times New Roman" w:cs="Times New Roman"/>
          <w:sz w:val="24"/>
          <w:szCs w:val="24"/>
        </w:rPr>
        <w:br/>
        <w:t xml:space="preserve">w wydarzeniu, jest większa od 15% (wynosi 17%) liczby uczestników deklarujących swój udział. Zatem koszt cateringu dla 100 osób, wynikający </w:t>
      </w:r>
      <w:r>
        <w:rPr>
          <w:rFonts w:ascii="Times New Roman" w:hAnsi="Times New Roman" w:cs="Times New Roman"/>
          <w:sz w:val="24"/>
          <w:szCs w:val="24"/>
        </w:rPr>
        <w:br/>
        <w:t>z wystawionej i opłaconej faktury / r</w:t>
      </w:r>
      <w:r>
        <w:rPr>
          <w:rFonts w:ascii="Times New Roman" w:hAnsi="Times New Roman" w:cs="Times New Roman"/>
          <w:sz w:val="24"/>
          <w:szCs w:val="24"/>
        </w:rPr>
        <w:t xml:space="preserve">ównoważnego dokumentu, powinien być pomniejszony o koszt dot. 2 osób (100 – 15 [dopuszczalny limit] – 83)); </w:t>
      </w:r>
    </w:p>
    <w:p w:rsidR="003B68F1" w:rsidRDefault="00511C98">
      <w:pPr>
        <w:pStyle w:val="Akapitzlist"/>
        <w:numPr>
          <w:ilvl w:val="0"/>
          <w:numId w:val="20"/>
        </w:numPr>
        <w:spacing w:before="60" w:after="60"/>
        <w:jc w:val="both"/>
        <w:rPr>
          <w:rFonts w:ascii="Times New Roman" w:eastAsia="Calibri" w:hAnsi="Times New Roman" w:cs="Times New Roman"/>
          <w:sz w:val="24"/>
          <w:szCs w:val="24"/>
        </w:rPr>
      </w:pPr>
      <w:r>
        <w:rPr>
          <w:rFonts w:ascii="Times New Roman" w:hAnsi="Times New Roman" w:cs="Times New Roman"/>
          <w:sz w:val="24"/>
          <w:szCs w:val="24"/>
        </w:rPr>
        <w:t xml:space="preserve">koszty transportu uczestników konferencji, spotkań, szkoleń, warsztatów </w:t>
      </w:r>
      <w:r>
        <w:rPr>
          <w:rFonts w:ascii="Times New Roman" w:hAnsi="Times New Roman" w:cs="Times New Roman"/>
          <w:sz w:val="24"/>
          <w:szCs w:val="24"/>
        </w:rPr>
        <w:br/>
        <w:t>i seminariów dla beneficjentów i potencjalnych beneficjentów Programu;</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w:t>
      </w:r>
      <w:r>
        <w:rPr>
          <w:rFonts w:ascii="Times New Roman" w:hAnsi="Times New Roman" w:cs="Times New Roman"/>
          <w:sz w:val="24"/>
          <w:szCs w:val="24"/>
        </w:rPr>
        <w:t xml:space="preserve">zty noclegów uczestników konferencji, spotkań, szkoleń, warsztatów </w:t>
      </w:r>
      <w:r>
        <w:rPr>
          <w:rFonts w:ascii="Times New Roman" w:hAnsi="Times New Roman" w:cs="Times New Roman"/>
          <w:sz w:val="24"/>
          <w:szCs w:val="24"/>
        </w:rPr>
        <w:br/>
        <w:t xml:space="preserve">i seminariów dla beneficjentów i potencjalnych beneficjentów Programu. </w:t>
      </w:r>
      <w:r>
        <w:rPr>
          <w:rFonts w:ascii="Times New Roman" w:hAnsi="Times New Roman" w:cs="Times New Roman"/>
          <w:sz w:val="24"/>
          <w:szCs w:val="24"/>
        </w:rPr>
        <w:br/>
        <w:t xml:space="preserve">W przypadku gdy faktyczna liczba uczestników, która została zgłoszona </w:t>
      </w:r>
      <w:r>
        <w:rPr>
          <w:rFonts w:ascii="Times New Roman" w:hAnsi="Times New Roman" w:cs="Times New Roman"/>
          <w:sz w:val="24"/>
          <w:szCs w:val="24"/>
        </w:rPr>
        <w:br/>
        <w:t>do korzystania z usługi noclegu, jest mniejsz</w:t>
      </w:r>
      <w:r>
        <w:rPr>
          <w:rFonts w:ascii="Times New Roman" w:hAnsi="Times New Roman" w:cs="Times New Roman"/>
          <w:sz w:val="24"/>
          <w:szCs w:val="24"/>
        </w:rPr>
        <w:t>a o nie więcej niż 15% liczby uczestników deklarujących swój udział (przy dochowaniu należytej staranności przez organizatora wydarzenia na etapie jego planowania i rekrutacji uczestników), wówczas za koszt kwalifikowalny uznaje się koszt usługi noclegowej</w:t>
      </w:r>
      <w:r>
        <w:rPr>
          <w:rFonts w:ascii="Times New Roman" w:hAnsi="Times New Roman" w:cs="Times New Roman"/>
          <w:sz w:val="24"/>
          <w:szCs w:val="24"/>
        </w:rPr>
        <w:t xml:space="preserve"> w całości wynikający z deklarowanego udziału, na podstawie wystawionej i opłaconej faktury lub równoważnego dokumentu. </w:t>
      </w:r>
    </w:p>
    <w:p w:rsidR="003B68F1" w:rsidRDefault="00511C98">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W wydarzeniu udział zadeklarowało 100 osób, a faktycznie udział wzięło 87 osób. Zatem faktyczna liczba uczestników, która ni</w:t>
      </w:r>
      <w:r>
        <w:rPr>
          <w:rFonts w:ascii="Times New Roman" w:hAnsi="Times New Roman" w:cs="Times New Roman"/>
          <w:sz w:val="24"/>
          <w:szCs w:val="24"/>
        </w:rPr>
        <w:t>e wzięła udziału w wydarzeniu, jest mniejsza o nie więcej niż 15% (wynosi 13%) liczby uczestników deklarujących swój udział. Zatem koszt usługi noclegowej dla 100 osób, wynikający z wystawionej i opłaconej faktury / równoważnego dokumentu, jest kwalifikowa</w:t>
      </w:r>
      <w:r>
        <w:rPr>
          <w:rFonts w:ascii="Times New Roman" w:hAnsi="Times New Roman" w:cs="Times New Roman"/>
          <w:sz w:val="24"/>
          <w:szCs w:val="24"/>
        </w:rPr>
        <w:t xml:space="preserve">lny w 100%. </w:t>
      </w:r>
    </w:p>
    <w:p w:rsidR="003B68F1" w:rsidRDefault="00511C98">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lastRenderedPageBreak/>
        <w:t xml:space="preserve">Przykład 2 </w:t>
      </w:r>
      <w:r>
        <w:rPr>
          <w:rFonts w:ascii="Times New Roman" w:hAnsi="Times New Roman" w:cs="Times New Roman"/>
          <w:sz w:val="24"/>
          <w:szCs w:val="24"/>
        </w:rPr>
        <w:t>W wydarzeniu udział zadeklarowało 100 osób, a faktycznie udział wzięły 83 osoby. Zatem faktyczna liczba uczestników, która nie wzięła udziału w wydarzeniu, jest większa od 15% (wynosi 17%) liczby uczestników deklarujących swój udzia</w:t>
      </w:r>
      <w:r>
        <w:rPr>
          <w:rFonts w:ascii="Times New Roman" w:hAnsi="Times New Roman" w:cs="Times New Roman"/>
          <w:sz w:val="24"/>
          <w:szCs w:val="24"/>
        </w:rPr>
        <w:t>ł. Zatem koszt usługi noclegowej dla 100 osób, wynikający z wystawionej i opłaconej faktury / równoważnego dokumentu, powinien być pomniejszony o koszt dot. 2 osób (100 – 15 [dopuszczalny limit] – 83));</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wsparcia ze strony ekspertów oraz wykładowców;</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wykonania i zamieszczenia tymczasowego bilbordu dużego formatu, stałej tablicy lub bilbordu dużego formatu, plakatu A3 lub tablicy informacyjnej;</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materiałów promocyjnych;</w:t>
      </w:r>
    </w:p>
    <w:p w:rsidR="003B68F1" w:rsidRDefault="00511C98">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w:t>
      </w:r>
      <w:r>
        <w:rPr>
          <w:rFonts w:ascii="Times New Roman" w:eastAsia="Calibri" w:hAnsi="Times New Roman" w:cs="Times New Roman"/>
          <w:sz w:val="24"/>
          <w:szCs w:val="24"/>
        </w:rPr>
        <w:t xml:space="preserve"> nagród rzeczowych dla laureatów konkursu.</w:t>
      </w:r>
    </w:p>
    <w:p w:rsidR="003B68F1" w:rsidRDefault="00511C98">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Koszty zakupu </w:t>
      </w:r>
      <w:r>
        <w:rPr>
          <w:rFonts w:ascii="Times New Roman" w:eastAsia="Calibri" w:hAnsi="Times New Roman" w:cs="Times New Roman"/>
          <w:sz w:val="24"/>
          <w:szCs w:val="24"/>
        </w:rPr>
        <w:t>materiałów promocyjnych są kwalifikowalne, jeżeli materiały te spełniają następujące warunki:</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są ujęte w budżecie operacji i stanowią jedną z jej składowych;</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określona jest grupa odbiorców, zgodnie z planem promocji operacji, jeśli plan taki istnieje;</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nawi</w:t>
      </w:r>
      <w:r>
        <w:rPr>
          <w:rFonts w:ascii="Times New Roman" w:eastAsia="Calibri" w:hAnsi="Times New Roman" w:cs="Times New Roman"/>
          <w:sz w:val="24"/>
          <w:szCs w:val="24"/>
        </w:rPr>
        <w:t>ązują do charakteru operacji (np. w przypadku szkoleń mogą być to długopisy i notesy dla uczestników itp.);</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są dostosowane i przydatne dla danej grupy odbiorców;</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uwzględniony jest sposób ich dystrybucji/emisji;</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nie są kupowane jako samodzielny projekt.</w:t>
      </w:r>
    </w:p>
    <w:p w:rsidR="003B68F1" w:rsidRDefault="00511C98">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Nie</w:t>
      </w:r>
      <w:r>
        <w:rPr>
          <w:rFonts w:ascii="Times New Roman" w:eastAsia="Calibri" w:hAnsi="Times New Roman" w:cs="Times New Roman"/>
          <w:sz w:val="24"/>
          <w:szCs w:val="24"/>
        </w:rPr>
        <w:t xml:space="preserve"> rekomendowane jest wykonanie i dystrybucja materiałów promocyjnych do promocji operacji. Materiały takie mogą być wyłącznie elementem wspierającym w ramach realizacji operacji. </w:t>
      </w:r>
    </w:p>
    <w:p w:rsidR="003B68F1" w:rsidRDefault="003B68F1">
      <w:pPr>
        <w:spacing w:before="60" w:after="60"/>
        <w:jc w:val="both"/>
        <w:rPr>
          <w:rFonts w:ascii="Times New Roman" w:hAnsi="Times New Roman" w:cs="Times New Roman"/>
          <w:sz w:val="24"/>
          <w:szCs w:val="24"/>
        </w:rPr>
      </w:pPr>
    </w:p>
    <w:p w:rsidR="003B68F1" w:rsidRDefault="00511C98">
      <w:pPr>
        <w:spacing w:before="60" w:after="60"/>
        <w:jc w:val="both"/>
        <w:rPr>
          <w:rFonts w:ascii="Times" w:hAnsi="Times" w:cs="Arial"/>
          <w:b/>
          <w:bCs/>
          <w:sz w:val="24"/>
          <w:szCs w:val="20"/>
        </w:rPr>
      </w:pPr>
      <w:r>
        <w:rPr>
          <w:rFonts w:ascii="Times New Roman" w:hAnsi="Times New Roman" w:cs="Times New Roman"/>
          <w:b/>
          <w:sz w:val="24"/>
          <w:szCs w:val="24"/>
        </w:rPr>
        <w:t>2.2 Koszty podróży służbowych oraz przejazdów, dojazdów środkami komunikacji</w:t>
      </w:r>
      <w:r>
        <w:rPr>
          <w:rFonts w:ascii="Times New Roman" w:hAnsi="Times New Roman" w:cs="Times New Roman"/>
          <w:b/>
          <w:sz w:val="24"/>
          <w:szCs w:val="24"/>
        </w:rPr>
        <w:t xml:space="preserve"> miejscowej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Kosztami kwalifikowalnymi są koszty przejazdów i dojazdów środkami komunikacji miejscowej, poniesione przez</w:t>
      </w:r>
      <w:r>
        <w:rPr>
          <w:rFonts w:ascii="Times New Roman" w:hAnsi="Times New Roman" w:cs="Times New Roman"/>
          <w:b/>
          <w:sz w:val="24"/>
          <w:szCs w:val="24"/>
        </w:rPr>
        <w:t xml:space="preserve"> </w:t>
      </w:r>
      <w:r>
        <w:rPr>
          <w:rFonts w:ascii="Times New Roman" w:hAnsi="Times New Roman" w:cs="Times New Roman"/>
          <w:sz w:val="24"/>
          <w:szCs w:val="24"/>
        </w:rPr>
        <w:t>pracowników IZ/podmiotu wdrażającego, które są niezbędne do realizacji zadań kwalifikowalnych, uzasadnione zakresem operacji i niezbędn</w:t>
      </w:r>
      <w:r>
        <w:rPr>
          <w:rFonts w:ascii="Times New Roman" w:hAnsi="Times New Roman" w:cs="Times New Roman"/>
          <w:sz w:val="24"/>
          <w:szCs w:val="24"/>
        </w:rPr>
        <w:t xml:space="preserve">e </w:t>
      </w:r>
      <w:r>
        <w:rPr>
          <w:rFonts w:ascii="Times New Roman" w:hAnsi="Times New Roman" w:cs="Times New Roman"/>
          <w:sz w:val="24"/>
          <w:szCs w:val="24"/>
        </w:rPr>
        <w:br/>
        <w:t xml:space="preserve">do osiągnięcia jej celu oraz racjonalne.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Koszty przejazdów środkami komunikacji publicznej powinny wynikać z aktualnego taryfikatora przejazdów kolejowych, autokarowych, autobusowych itp. W przypadku podróży samochodami służbowymi oraz samochodami pryw</w:t>
      </w:r>
      <w:r>
        <w:rPr>
          <w:rFonts w:ascii="Times New Roman" w:hAnsi="Times New Roman" w:cs="Times New Roman"/>
          <w:sz w:val="24"/>
          <w:szCs w:val="24"/>
        </w:rPr>
        <w:t xml:space="preserve">atnymi wykorzystywanymi do celów służbowych na potrzeby realizacji operacji, koszty z nimi związane należy rozliczyć </w:t>
      </w:r>
      <w:r>
        <w:rPr>
          <w:rFonts w:ascii="Times New Roman" w:hAnsi="Times New Roman" w:cs="Times New Roman"/>
          <w:sz w:val="24"/>
          <w:szCs w:val="24"/>
        </w:rPr>
        <w:br/>
        <w:t>na podstawie dokumentacji dotyczącej podróży, tj. należy uwzględnić datę wyjazdu, opis trasy (skąd – dokąd), cel wyjazdu, liczbę przejecha</w:t>
      </w:r>
      <w:r>
        <w:rPr>
          <w:rFonts w:ascii="Times New Roman" w:hAnsi="Times New Roman" w:cs="Times New Roman"/>
          <w:sz w:val="24"/>
          <w:szCs w:val="24"/>
        </w:rPr>
        <w:t>nych kilometrów, stawkę za 1 km przebiegu (wg stawek za kilometr, zgodnych z obowiązującymi przepisami), całkowity koszt przejazdu, numer rejestracyjny pojazdu oraz pojemność i rodzaj silnika. Użycie samochodu jako środka transportu i przedstawienie wynika</w:t>
      </w:r>
      <w:r>
        <w:rPr>
          <w:rFonts w:ascii="Times New Roman" w:hAnsi="Times New Roman" w:cs="Times New Roman"/>
          <w:sz w:val="24"/>
          <w:szCs w:val="24"/>
        </w:rPr>
        <w:t xml:space="preserve">jących z tego kosztów jako kwalifikowalnych zasadne jest wtedy, gdy nie istnieje inna, bardziej racjonalna możliwość </w:t>
      </w:r>
      <w:r>
        <w:rPr>
          <w:rFonts w:ascii="Times New Roman" w:hAnsi="Times New Roman" w:cs="Times New Roman"/>
          <w:sz w:val="24"/>
          <w:szCs w:val="24"/>
        </w:rPr>
        <w:lastRenderedPageBreak/>
        <w:t>przejazdu, co należy wyjaśnić w uzasadnieniu do wniosku. W przypadku korzystania z przejazdów kolejowych, autokarowych lub autobusowych, na</w:t>
      </w:r>
      <w:r>
        <w:rPr>
          <w:rFonts w:ascii="Times New Roman" w:hAnsi="Times New Roman" w:cs="Times New Roman"/>
          <w:sz w:val="24"/>
          <w:szCs w:val="24"/>
        </w:rPr>
        <w:t>leży przedstawić dokumenty poświadczające odbycie podróży (bilet). Za kwalifikowalne uznawane będą koszty, które są racjonalne. W przypadku przejazdów kolejowych podróże takie powinny odbywać się w II klasie. W wyjątkowych przypadkach możliwa jest refundac</w:t>
      </w:r>
      <w:r>
        <w:rPr>
          <w:rFonts w:ascii="Times New Roman" w:hAnsi="Times New Roman" w:cs="Times New Roman"/>
          <w:sz w:val="24"/>
          <w:szCs w:val="24"/>
        </w:rPr>
        <w:t xml:space="preserve">ja biletów kolejowych zakupionych w I klasie. Dotyczy </w:t>
      </w:r>
      <w:r>
        <w:rPr>
          <w:rFonts w:ascii="Times New Roman" w:hAnsi="Times New Roman" w:cs="Times New Roman"/>
          <w:sz w:val="24"/>
          <w:szCs w:val="24"/>
        </w:rPr>
        <w:br/>
        <w:t>to sytuacji, w której brak było możliwości zakupu na dane połączenie w danym terminie biletów innych niż w I klasie.</w:t>
      </w:r>
    </w:p>
    <w:p w:rsidR="003B68F1" w:rsidRDefault="003B68F1">
      <w:pPr>
        <w:spacing w:before="60" w:after="60"/>
        <w:jc w:val="both"/>
        <w:rPr>
          <w:rFonts w:ascii="Times New Roman" w:hAnsi="Times New Roman" w:cs="Times New Roman"/>
          <w:sz w:val="24"/>
          <w:szCs w:val="24"/>
        </w:rPr>
      </w:pPr>
    </w:p>
    <w:p w:rsidR="003B68F1" w:rsidRDefault="00511C98">
      <w:pPr>
        <w:spacing w:before="60" w:after="60"/>
        <w:jc w:val="both"/>
        <w:rPr>
          <w:rFonts w:ascii="Times New Roman" w:hAnsi="Times New Roman" w:cs="Times New Roman"/>
          <w:b/>
          <w:sz w:val="24"/>
          <w:szCs w:val="24"/>
        </w:rPr>
      </w:pPr>
      <w:r>
        <w:rPr>
          <w:rFonts w:ascii="Times New Roman" w:hAnsi="Times New Roman" w:cs="Times New Roman"/>
          <w:b/>
          <w:sz w:val="24"/>
          <w:szCs w:val="24"/>
        </w:rPr>
        <w:t>2.3 Koszty nagród finansowych dla laureatów konkursów</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te </w:t>
      </w:r>
      <w:r>
        <w:rPr>
          <w:rFonts w:ascii="Times" w:hAnsi="Times" w:cs="Arial"/>
          <w:bCs/>
          <w:sz w:val="24"/>
          <w:szCs w:val="20"/>
        </w:rPr>
        <w:t xml:space="preserve">są kwalifikowalne, </w:t>
      </w:r>
      <w:r>
        <w:rPr>
          <w:rFonts w:ascii="Times" w:hAnsi="Times" w:cs="Arial"/>
          <w:bCs/>
          <w:sz w:val="24"/>
          <w:szCs w:val="20"/>
        </w:rPr>
        <w:t>jeżeli są uzasadnione zakresem operacji realizowanej przez beneficjenta pomocy technicznej (IZ, podmiot wdrażający) w ramach działania 8 Planu działania KSOW 2014-2020 – Plan komunikacyjny PROW 2014-2020 i niezbędne do osiągnięcia jej celu oraz racjonalne.</w:t>
      </w:r>
      <w:r>
        <w:rPr>
          <w:rFonts w:ascii="Times" w:hAnsi="Times" w:cs="Arial"/>
          <w:bCs/>
          <w:sz w:val="24"/>
          <w:szCs w:val="20"/>
        </w:rPr>
        <w:t xml:space="preserve"> </w:t>
      </w:r>
      <w:r>
        <w:rPr>
          <w:rFonts w:ascii="Times New Roman" w:hAnsi="Times New Roman" w:cs="Times New Roman"/>
          <w:sz w:val="24"/>
          <w:szCs w:val="24"/>
        </w:rPr>
        <w:t>Nagrody finansowe dla laureatów w konkursach organizowanych w ramach działania Plan Komunikacyjny PROW 2014-2020 mogą zostać uznane za koszt kwalifikowalny, o ile zostały przewidziane w Planie komunikacyjnym danego beneficjenta. Wysokość nagród w konkursa</w:t>
      </w:r>
      <w:r>
        <w:rPr>
          <w:rFonts w:ascii="Times New Roman" w:hAnsi="Times New Roman" w:cs="Times New Roman"/>
          <w:sz w:val="24"/>
          <w:szCs w:val="24"/>
        </w:rPr>
        <w:t xml:space="preserve">ch może stanowić do 100% całości kosztów operacji, jednakże wówczas należy przedstawić odpowiednie uzasadnienie, a koszty </w:t>
      </w:r>
      <w:r>
        <w:rPr>
          <w:rFonts w:ascii="Times New Roman" w:hAnsi="Times New Roman" w:cs="Times New Roman"/>
          <w:sz w:val="24"/>
          <w:szCs w:val="24"/>
        </w:rPr>
        <w:br/>
        <w:t>te są uzasadnione zakresem operacji i niezbędne do osiągnięcia jej celu oraz racjonalne.</w:t>
      </w:r>
    </w:p>
    <w:p w:rsidR="003B68F1" w:rsidRDefault="003B68F1">
      <w:pPr>
        <w:spacing w:before="60" w:after="60"/>
        <w:jc w:val="both"/>
        <w:rPr>
          <w:rFonts w:ascii="Times New Roman" w:hAnsi="Times New Roman" w:cs="Times New Roman"/>
          <w:sz w:val="24"/>
          <w:szCs w:val="24"/>
        </w:rPr>
      </w:pPr>
    </w:p>
    <w:p w:rsidR="003B68F1" w:rsidRDefault="00511C98">
      <w:pPr>
        <w:rPr>
          <w:rFonts w:ascii="Times New Roman" w:hAnsi="Times New Roman"/>
          <w:b/>
          <w:sz w:val="28"/>
          <w:szCs w:val="28"/>
        </w:rPr>
      </w:pPr>
      <w:bookmarkStart w:id="6" w:name="_Toc10788490"/>
      <w:bookmarkStart w:id="7" w:name="_Toc472579956"/>
      <w:r>
        <w:rPr>
          <w:rFonts w:ascii="Times New Roman" w:hAnsi="Times New Roman"/>
          <w:b/>
          <w:sz w:val="28"/>
          <w:szCs w:val="28"/>
        </w:rPr>
        <w:t>VI Podział finansowania poszczególnych kosz</w:t>
      </w:r>
      <w:r>
        <w:rPr>
          <w:rFonts w:ascii="Times New Roman" w:hAnsi="Times New Roman"/>
          <w:b/>
          <w:sz w:val="28"/>
          <w:szCs w:val="28"/>
        </w:rPr>
        <w:t>tów pomiędzy schematami</w:t>
      </w:r>
      <w:bookmarkEnd w:id="6"/>
      <w:bookmarkEnd w:id="7"/>
    </w:p>
    <w:p w:rsidR="003B68F1" w:rsidRDefault="003B68F1">
      <w:pPr>
        <w:rPr>
          <w:rFonts w:ascii="Times New Roman" w:hAnsi="Times New Roman"/>
          <w:b/>
          <w:sz w:val="28"/>
          <w:szCs w:val="28"/>
        </w:rPr>
      </w:pP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 przypadku gdy pracownik wnioskodawcy realizuje zadania w ramach PT PROW </w:t>
      </w:r>
      <w:r>
        <w:rPr>
          <w:rFonts w:ascii="Times New Roman" w:hAnsi="Times New Roman" w:cs="Times New Roman"/>
          <w:sz w:val="24"/>
          <w:szCs w:val="24"/>
        </w:rPr>
        <w:br/>
        <w:t xml:space="preserve">w zakresie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schematu, koszty dotyczące pracowników realizujących te zadania należy rozliczać w następujący sposób:</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jeśli pracownik realizuje proporcjo</w:t>
      </w:r>
      <w:r>
        <w:rPr>
          <w:rFonts w:ascii="Times New Roman" w:eastAsia="Calibri" w:hAnsi="Times New Roman" w:cs="Times New Roman"/>
          <w:sz w:val="24"/>
          <w:szCs w:val="24"/>
        </w:rPr>
        <w:t xml:space="preserve">nalnie (50%/50%) zadania w obszarze schematu I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II, wówczas koszty jego wynagrodzenia oraz związane </w:t>
      </w:r>
      <w:r>
        <w:rPr>
          <w:rFonts w:ascii="Times New Roman" w:eastAsia="Calibri" w:hAnsi="Times New Roman" w:cs="Times New Roman"/>
          <w:sz w:val="24"/>
          <w:szCs w:val="24"/>
        </w:rPr>
        <w:br/>
        <w:t>z zapewnieniem pracownikowi warunków pracy będą rozliczone również proporcjonalnie;</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gdy pracownik beneficjenta realizuje zadania na rzecz KSOW</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w zakresie tzw. prac wspierających (np. wsparcie prawne, finansowe, prace związane z aplikacją o PT), wówczas koszty wynagrodzenia oraz związane </w:t>
      </w:r>
      <w:r>
        <w:rPr>
          <w:rFonts w:ascii="Times New Roman" w:eastAsia="Calibri" w:hAnsi="Times New Roman" w:cs="Times New Roman"/>
          <w:sz w:val="24"/>
          <w:szCs w:val="24"/>
        </w:rPr>
        <w:br/>
        <w:t>z zapewnieniem pracownikowi warunków pracy mogą być finansowane ze środków schematu I;</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w:t>
      </w:r>
      <w:r>
        <w:rPr>
          <w:rFonts w:ascii="Times New Roman" w:eastAsia="Calibri" w:hAnsi="Times New Roman" w:cs="Times New Roman"/>
          <w:sz w:val="24"/>
          <w:szCs w:val="24"/>
        </w:rPr>
        <w:t>pracownik beneficjenta realizuje zadania w obszarze zarówno I, jak i II schematu, z tym że proporcje realizacji zadań w ww. obszarach stanowią min. 95% do 5%, wtedy koszt realizacji tych zadań jest kwalifikowalny ze środków schematu wiodącego.</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w:t>
      </w:r>
      <w:r>
        <w:rPr>
          <w:rFonts w:ascii="Times New Roman" w:eastAsia="Calibri" w:hAnsi="Times New Roman" w:cs="Times New Roman"/>
          <w:sz w:val="24"/>
          <w:szCs w:val="24"/>
        </w:rPr>
        <w:t xml:space="preserve">gdy pracownik realizuje proporcjonalnie (50%/50%) zadania schematu I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II, a zostaje skierowany na szkolenie/kurs z obszaru tzw. wiedzy </w:t>
      </w:r>
      <w:r>
        <w:rPr>
          <w:rFonts w:ascii="Times New Roman" w:eastAsia="Calibri" w:hAnsi="Times New Roman" w:cs="Times New Roman"/>
          <w:sz w:val="24"/>
          <w:szCs w:val="24"/>
        </w:rPr>
        <w:lastRenderedPageBreak/>
        <w:t>ogólnej (np. kurs językowy, szkolenie z zakresu umiejętności interpersonalnych, umiejętności negocjacji, zarządzania str</w:t>
      </w:r>
      <w:r>
        <w:rPr>
          <w:rFonts w:ascii="Times New Roman" w:eastAsia="Calibri" w:hAnsi="Times New Roman" w:cs="Times New Roman"/>
          <w:sz w:val="24"/>
          <w:szCs w:val="24"/>
        </w:rPr>
        <w:t xml:space="preserve">esem, zarządzania czasem, autoprezentacji), koszty tego szkolenia/kursu winny być rozliczone proporcjonalnie (50%/50%); natomiast gdy szkolenie związane jest z pracą </w:t>
      </w:r>
      <w:r>
        <w:rPr>
          <w:rFonts w:ascii="Times New Roman" w:eastAsia="Calibri" w:hAnsi="Times New Roman" w:cs="Times New Roman"/>
          <w:sz w:val="24"/>
          <w:szCs w:val="24"/>
        </w:rPr>
        <w:br/>
        <w:t xml:space="preserve">w obszarze tylko jednego ze schematów, wtedy kwalifikowalne jest w 100% z tego schematu; </w:t>
      </w:r>
    </w:p>
    <w:p w:rsidR="003B68F1" w:rsidRDefault="00511C98">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pracownik wnioskodawcy zostaje delegowany służbowo </w:t>
      </w:r>
      <w:r>
        <w:rPr>
          <w:rFonts w:ascii="Times New Roman" w:eastAsia="Calibri" w:hAnsi="Times New Roman" w:cs="Times New Roman"/>
          <w:sz w:val="24"/>
          <w:szCs w:val="24"/>
        </w:rPr>
        <w:br/>
        <w:t>w związku z realizacją zadań w obszarze danego schematu, całość kosztów delegacji należy rozliczyć w ramach tego schematu.</w:t>
      </w:r>
    </w:p>
    <w:p w:rsidR="003B68F1" w:rsidRDefault="003B68F1">
      <w:pPr>
        <w:pStyle w:val="Akapitzlist"/>
        <w:spacing w:before="60" w:after="60"/>
        <w:ind w:left="1068"/>
        <w:jc w:val="both"/>
        <w:rPr>
          <w:rFonts w:ascii="Times New Roman" w:eastAsia="Calibri" w:hAnsi="Times New Roman" w:cs="Times New Roman"/>
          <w:sz w:val="24"/>
          <w:szCs w:val="24"/>
        </w:rPr>
      </w:pPr>
    </w:p>
    <w:p w:rsidR="003B68F1" w:rsidRDefault="00511C98">
      <w:pPr>
        <w:pStyle w:val="Nagwek1"/>
        <w:spacing w:before="60" w:after="60" w:line="276" w:lineRule="auto"/>
        <w:rPr>
          <w:color w:val="auto"/>
        </w:rPr>
      </w:pPr>
      <w:bookmarkStart w:id="8" w:name="_Toc10788491"/>
      <w:r>
        <w:rPr>
          <w:color w:val="auto"/>
        </w:rPr>
        <w:t>VII Koszty niekwalifikowalne w ramach PT PROW 2014-2020</w:t>
      </w:r>
      <w:bookmarkEnd w:id="8"/>
    </w:p>
    <w:p w:rsidR="003B68F1" w:rsidRDefault="003B68F1"/>
    <w:p w:rsidR="003B68F1" w:rsidRDefault="00511C98">
      <w:pPr>
        <w:pStyle w:val="USTustnpkodeksu"/>
        <w:spacing w:before="60" w:after="60" w:line="276" w:lineRule="auto"/>
        <w:ind w:firstLine="0"/>
        <w:rPr>
          <w:rFonts w:ascii="Times New Roman" w:hAnsi="Times New Roman" w:cs="Times New Roman"/>
          <w:szCs w:val="24"/>
        </w:rPr>
      </w:pPr>
      <w:r>
        <w:rPr>
          <w:rFonts w:ascii="Times New Roman" w:hAnsi="Times New Roman" w:cs="Times New Roman"/>
          <w:szCs w:val="24"/>
        </w:rPr>
        <w:t xml:space="preserve">Do kosztów kwalifikowalnych nie zalicza się następujących kosztów: </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nagród jubileuszowych;</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odpraw pracowniczych;</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wynagrodzenia wypłacanego w okresie wypowiedzenia bez obowiązku świadczenia pracy z wyłączeniem wynagrodzenia za czas urlopu wypo</w:t>
      </w:r>
      <w:r>
        <w:rPr>
          <w:rFonts w:ascii="Times New Roman" w:hAnsi="Times New Roman" w:cs="Times New Roman"/>
          <w:sz w:val="24"/>
          <w:szCs w:val="24"/>
        </w:rPr>
        <w:t>czynkowego;</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środków transportu;</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związane z umową leasingu środków transportu, zakończonego przeniesieniem prawa własności tych środków transportu;</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wydatki na ulepszanie środków transportu;</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alkoholu, z wyjątkiem alkoholu wpisanego na list</w:t>
      </w:r>
      <w:r>
        <w:rPr>
          <w:rFonts w:ascii="Times New Roman" w:hAnsi="Times New Roman" w:cs="Times New Roman"/>
          <w:sz w:val="24"/>
          <w:szCs w:val="24"/>
        </w:rPr>
        <w:t xml:space="preserve">ę produktów tradycyjnych, </w:t>
      </w:r>
      <w:r>
        <w:rPr>
          <w:rFonts w:ascii="Times New Roman" w:hAnsi="Times New Roman" w:cs="Times New Roman"/>
          <w:sz w:val="24"/>
          <w:szCs w:val="24"/>
        </w:rPr>
        <w:br/>
        <w:t xml:space="preserve">o której mowa w przepisach ustawy z dnia 17 grudnia 2004 r. o rejestracji </w:t>
      </w:r>
      <w:r>
        <w:rPr>
          <w:rFonts w:ascii="Times New Roman" w:hAnsi="Times New Roman" w:cs="Times New Roman"/>
          <w:sz w:val="24"/>
          <w:szCs w:val="24"/>
        </w:rPr>
        <w:br/>
        <w:t xml:space="preserve">i ochronie nazw i oznaczeń produktów rolnych i środków spożywczych oraz </w:t>
      </w:r>
      <w:r>
        <w:rPr>
          <w:rFonts w:ascii="Times New Roman" w:hAnsi="Times New Roman" w:cs="Times New Roman"/>
          <w:sz w:val="24"/>
          <w:szCs w:val="24"/>
        </w:rPr>
        <w:br/>
        <w:t>o produktach tradycyjnych (Dz. U. z 2019 r. poz. 915), kupionego w celach promocj</w:t>
      </w:r>
      <w:r>
        <w:rPr>
          <w:rFonts w:ascii="Times New Roman" w:hAnsi="Times New Roman" w:cs="Times New Roman"/>
          <w:sz w:val="24"/>
          <w:szCs w:val="24"/>
        </w:rPr>
        <w:t>i dziedzictwa kulturowego regionu, w którym jest wytwarzany, w związku z realizacją operacji w ramach dwuletnich planów operacyjnych, o których mowa w art. 55 ust. 2 pkt 2 ustawy;</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poniesione na podstawie umowy cywilnoprawnej zawartej przez podmiot u</w:t>
      </w:r>
      <w:r>
        <w:rPr>
          <w:rFonts w:ascii="Times New Roman" w:hAnsi="Times New Roman" w:cs="Times New Roman"/>
          <w:sz w:val="24"/>
          <w:szCs w:val="24"/>
        </w:rPr>
        <w:t>prawniony z pracownikiem tego podmiotu;</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dostaw i usług poniesionych na podstawie umowy cywilnoprawnej zawartej przez partnera KSOW ze swoim pracownikiem o wartości brutto zamówienia przekraczającej kwotę, o której mowa w art. 43a ust. 5 ustawy ROW (</w:t>
      </w:r>
      <w:r>
        <w:rPr>
          <w:rFonts w:ascii="Times New Roman" w:hAnsi="Times New Roman" w:cs="Times New Roman"/>
          <w:sz w:val="24"/>
          <w:szCs w:val="24"/>
        </w:rPr>
        <w:t xml:space="preserve">w przypadku umowy cywilnoprawnej z osobą fizyczną, gdy wartość zamówienia nie jest objęta podatkiem VAT, a jest objęta innymi podatkami, w tym podatkiem dochodowym, </w:t>
      </w:r>
      <w:r>
        <w:rPr>
          <w:rFonts w:ascii="Times New Roman" w:hAnsi="Times New Roman" w:cs="Times New Roman"/>
          <w:sz w:val="24"/>
          <w:szCs w:val="24"/>
        </w:rPr>
        <w:br/>
        <w:t xml:space="preserve">a także, jeżeli wynika to z przepisów prawa, składkami na ubezpieczenia społeczne </w:t>
      </w:r>
      <w:r>
        <w:rPr>
          <w:rFonts w:ascii="Times New Roman" w:hAnsi="Times New Roman" w:cs="Times New Roman"/>
          <w:sz w:val="24"/>
          <w:szCs w:val="24"/>
        </w:rPr>
        <w:br/>
        <w:t>i zdrow</w:t>
      </w:r>
      <w:r>
        <w:rPr>
          <w:rFonts w:ascii="Times New Roman" w:hAnsi="Times New Roman" w:cs="Times New Roman"/>
          <w:sz w:val="24"/>
          <w:szCs w:val="24"/>
        </w:rPr>
        <w:t xml:space="preserve">otne, koszt netto równa się kosztowi brutto); </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koszty kursu języka obcego na poziomie A1 zgodnie z Europejskim Systemem Opisu Kształcenia Językowego;</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poniesione przez Prezesa Urzędu Zamówień Publicznych w związku </w:t>
      </w:r>
      <w:r>
        <w:rPr>
          <w:rFonts w:ascii="Times New Roman" w:hAnsi="Times New Roman" w:cs="Times New Roman"/>
          <w:sz w:val="24"/>
          <w:szCs w:val="24"/>
        </w:rPr>
        <w:br/>
        <w:t>z kontrolą operacji realizowanych p</w:t>
      </w:r>
      <w:r>
        <w:rPr>
          <w:rFonts w:ascii="Times New Roman" w:hAnsi="Times New Roman" w:cs="Times New Roman"/>
          <w:sz w:val="24"/>
          <w:szCs w:val="24"/>
        </w:rPr>
        <w:t>rzez Urząd Zamówień Publicznych w ramach pomocy technicznej;</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nieruchomości;</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remontów i modernizacji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konferencyjnych;</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składki na Państwowy Fundusz Rehabilitacji Osób Niepełnosprawnych (PFRON);</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odpisy na Zakładowy Fundusz Świadczeń Socjalnyc</w:t>
      </w:r>
      <w:r>
        <w:rPr>
          <w:rFonts w:ascii="Times New Roman" w:hAnsi="Times New Roman" w:cs="Times New Roman"/>
          <w:sz w:val="24"/>
          <w:szCs w:val="24"/>
        </w:rPr>
        <w:t>h, świadczenia finansowane ze środków ZFŚS;</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czajników;</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ekspresów do kawy;</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kuchenek mikrofalowych;</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lodówek;</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naprawa sprzętu typu AGD (czajnik, ekspres do kawy, kuchenka mikrofalowa, lodówka itp.);</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zakup wieszaków na odzież itp. (wyjątek stanowi zakup wieszaków ubraniowych ściennych lub stojących w sytuacji, gdy dane pomieszczenie nie posiada </w:t>
      </w:r>
      <w:r>
        <w:rPr>
          <w:rFonts w:ascii="Times New Roman" w:hAnsi="Times New Roman" w:cs="Times New Roman"/>
          <w:sz w:val="24"/>
          <w:szCs w:val="24"/>
        </w:rPr>
        <w:br/>
        <w:t>w zakresie swojego wyposażenia szafy ubraniowej);</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odbiorników radiofonicznych i telewizyjnych oraz opł</w:t>
      </w:r>
      <w:r>
        <w:rPr>
          <w:rFonts w:ascii="Times New Roman" w:hAnsi="Times New Roman" w:cs="Times New Roman"/>
          <w:sz w:val="24"/>
          <w:szCs w:val="24"/>
        </w:rPr>
        <w:t>acanie abonamentu za ich użytkowanie;</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bonów towarowych;</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legitymacji kolejowych;</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różnic kursowych z następującym zastrzeżeniem:</w:t>
      </w:r>
    </w:p>
    <w:p w:rsidR="003B68F1" w:rsidRDefault="00511C98">
      <w:pPr>
        <w:pStyle w:val="Akapitzlist"/>
        <w:numPr>
          <w:ilvl w:val="0"/>
          <w:numId w:val="24"/>
        </w:numPr>
        <w:spacing w:before="60" w:after="60"/>
        <w:jc w:val="both"/>
        <w:rPr>
          <w:rFonts w:ascii="Times New Roman" w:hAnsi="Times New Roman" w:cs="Times New Roman"/>
          <w:sz w:val="24"/>
          <w:szCs w:val="24"/>
        </w:rPr>
      </w:pPr>
      <w:r>
        <w:rPr>
          <w:rFonts w:ascii="Times New Roman" w:hAnsi="Times New Roman" w:cs="Times New Roman"/>
          <w:color w:val="000000"/>
          <w:sz w:val="24"/>
          <w:szCs w:val="24"/>
        </w:rPr>
        <w:t xml:space="preserve">różnice kursowe powstają, gdy poniesiony koszt w walucie obcej </w:t>
      </w:r>
      <w:r>
        <w:rPr>
          <w:rFonts w:ascii="Times New Roman" w:hAnsi="Times New Roman" w:cs="Times New Roman"/>
          <w:color w:val="000000"/>
          <w:sz w:val="24"/>
          <w:szCs w:val="24"/>
        </w:rPr>
        <w:br/>
        <w:t>po przeliczeniu na złotówki (po kursie faktycz</w:t>
      </w:r>
      <w:r>
        <w:rPr>
          <w:rFonts w:ascii="Times New Roman" w:hAnsi="Times New Roman" w:cs="Times New Roman"/>
          <w:color w:val="000000"/>
          <w:sz w:val="24"/>
          <w:szCs w:val="24"/>
        </w:rPr>
        <w:t xml:space="preserve">nie zastosowanym przez bank obsługujący beneficjenta) jest wyższy lub niższy od wartości tego kosztu </w:t>
      </w:r>
      <w:r>
        <w:rPr>
          <w:rFonts w:ascii="Times New Roman" w:hAnsi="Times New Roman" w:cs="Times New Roman"/>
          <w:color w:val="000000"/>
          <w:sz w:val="24"/>
          <w:szCs w:val="24"/>
        </w:rPr>
        <w:br/>
        <w:t xml:space="preserve">w dniu zapłaty przeliczonego według faktycznie zastosowanego kursu z tego dnia. </w:t>
      </w:r>
      <w:r>
        <w:rPr>
          <w:rFonts w:ascii="Times New Roman" w:hAnsi="Times New Roman" w:cs="Times New Roman"/>
          <w:sz w:val="24"/>
          <w:szCs w:val="24"/>
        </w:rPr>
        <w:t>Ponadto dowodem poniesienia przedmiotowego kosztu jest opłacona faktura lub inny dokument księgowy o równoważnej wartości dowodowej wraz z dowodami zapłaty. Z tego względu za koszt kwalifikowalny należy uznać koszt rzeczywiście poniesiony, a co za tym idzi</w:t>
      </w:r>
      <w:r>
        <w:rPr>
          <w:rFonts w:ascii="Times New Roman" w:hAnsi="Times New Roman" w:cs="Times New Roman"/>
          <w:sz w:val="24"/>
          <w:szCs w:val="24"/>
        </w:rPr>
        <w:t>e fakturę lub rachunek zapłacony w wysokości na jaką opiewa. Uwzględniając powyższe, należy zauważyć, że nadrzędną zasadą, którą winni kierować się beneficjenci pomocy technicznej PROW 2014–2020, rozliczając faktury wystawione w walutach obcych, jest zasad</w:t>
      </w:r>
      <w:r>
        <w:rPr>
          <w:rFonts w:ascii="Times New Roman" w:hAnsi="Times New Roman" w:cs="Times New Roman"/>
          <w:sz w:val="24"/>
          <w:szCs w:val="24"/>
        </w:rPr>
        <w:t xml:space="preserve">a faktycznego poniesienia wydatku. Przeliczenie faktur wystawionych w walutach obcych powinno być zgodne z art. 30 ustawy </w:t>
      </w:r>
      <w:r>
        <w:rPr>
          <w:rFonts w:ascii="Times New Roman" w:hAnsi="Times New Roman" w:cs="Times New Roman"/>
          <w:sz w:val="24"/>
          <w:szCs w:val="24"/>
        </w:rPr>
        <w:br/>
        <w:t>o rachunkowości (Dz. U. z 2019 r. poz. 351). Zatem koszt, by mógł być uznany za kwalifikowalny, musi być rzeczywiście poniesiony, tj.</w:t>
      </w:r>
      <w:r>
        <w:rPr>
          <w:rFonts w:ascii="Times New Roman" w:hAnsi="Times New Roman" w:cs="Times New Roman"/>
          <w:sz w:val="24"/>
          <w:szCs w:val="24"/>
        </w:rPr>
        <w:t xml:space="preserve"> przeliczony zgodnie z ustawą o rachunkowości po kursie faktycznie zastosowanym w tym dniu, wynikającym z charakteru operacji – w przypadku sprzedaży lub kupna walut oraz zapłaty należności lub zobowiązań. W sytuacji płatności </w:t>
      </w:r>
      <w:r>
        <w:rPr>
          <w:rFonts w:ascii="Times New Roman" w:hAnsi="Times New Roman" w:cs="Times New Roman"/>
          <w:sz w:val="24"/>
          <w:szCs w:val="24"/>
        </w:rPr>
        <w:lastRenderedPageBreak/>
        <w:t>bezgotówkowych, za koszt, któ</w:t>
      </w:r>
      <w:r>
        <w:rPr>
          <w:rFonts w:ascii="Times New Roman" w:hAnsi="Times New Roman" w:cs="Times New Roman"/>
          <w:sz w:val="24"/>
          <w:szCs w:val="24"/>
        </w:rPr>
        <w:t xml:space="preserve">ry będzie mógł podlegać refundacji, uznana będzie kwota będąca równoważnością kwoty obciążającej beneficjenta </w:t>
      </w:r>
      <w:r>
        <w:rPr>
          <w:rFonts w:ascii="Times New Roman" w:hAnsi="Times New Roman" w:cs="Times New Roman"/>
          <w:sz w:val="24"/>
          <w:szCs w:val="24"/>
        </w:rPr>
        <w:br/>
        <w:t>w walucie obcej, przyjmując kurs faktycznie zastosowany przez bank obsługujący beneficjenta w dniu dokonania przelewu. W przypadku gdy nie jest m</w:t>
      </w:r>
      <w:r>
        <w:rPr>
          <w:rFonts w:ascii="Times New Roman" w:hAnsi="Times New Roman" w:cs="Times New Roman"/>
          <w:sz w:val="24"/>
          <w:szCs w:val="24"/>
        </w:rPr>
        <w:t>ożliwe zastosowanie kursu sprzedaży danego banku, wydatki kwalifikowalne poniesione w walucie obcej należy przeliczyć po innym kursie, zgodnym z  obowiązującymi przepisami prawa oraz obowiązującą polityką rachunkowości beneficjenta.</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wkład rzeczowy, o który</w:t>
      </w:r>
      <w:r>
        <w:rPr>
          <w:rFonts w:ascii="Times New Roman" w:hAnsi="Times New Roman" w:cs="Times New Roman"/>
          <w:sz w:val="24"/>
          <w:szCs w:val="24"/>
        </w:rPr>
        <w:t>m mowa w art. 61 ust. 3 rozporządzenia nr 1305/2013;</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podręcznik do nauki języka/studiów podyplomowych;</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składek członkowskich podmiotów uprawnionych w organizacjach działających na rzecz rozwoju obszarów wiejskich (od dnia 18 stycznia 2017 r.);</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zasił</w:t>
      </w:r>
      <w:r>
        <w:rPr>
          <w:rFonts w:ascii="Times New Roman" w:hAnsi="Times New Roman" w:cs="Times New Roman"/>
          <w:sz w:val="24"/>
          <w:szCs w:val="24"/>
        </w:rPr>
        <w:t>ki finansowane ze środków ZUS (w tym zasiłek chorobowy, macierzyński, opiekuńczy oraz wyrównanie tych zasiłków), świadczenia rehabilitacyjne;</w:t>
      </w:r>
    </w:p>
    <w:p w:rsidR="003B68F1" w:rsidRDefault="00511C98">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oprawy muzycznej/artystycznej podczas realizacji operacji, na które składają się w szczególności koszty wyn</w:t>
      </w:r>
      <w:r>
        <w:rPr>
          <w:rFonts w:ascii="Times New Roman" w:hAnsi="Times New Roman" w:cs="Times New Roman"/>
          <w:sz w:val="24"/>
          <w:szCs w:val="24"/>
        </w:rPr>
        <w:t>agrodzenia artysty, wynajmu sceny, nagłośnienia, oświetlenia, agregatów prądotwórczych. Jeżeli koszty realizowanej operacji poniesione na oprawę muzyczną/artystyczną spełnią trzy przesłanki kwalifikowalności, tj.: będą uzasadnione zakresem operacji, niezbę</w:t>
      </w:r>
      <w:r>
        <w:rPr>
          <w:rFonts w:ascii="Times New Roman" w:hAnsi="Times New Roman" w:cs="Times New Roman"/>
          <w:sz w:val="24"/>
          <w:szCs w:val="24"/>
        </w:rPr>
        <w:t xml:space="preserve">dne </w:t>
      </w:r>
      <w:r>
        <w:rPr>
          <w:rFonts w:ascii="Times New Roman" w:hAnsi="Times New Roman" w:cs="Times New Roman"/>
          <w:sz w:val="24"/>
          <w:szCs w:val="24"/>
        </w:rPr>
        <w:br/>
        <w:t>do osiągnięcia jej celu oraz racjonalne, wtedy mogą zostać uznane za kwalifikowalne (mogą to być np. występy zespołów ludowych/folklorystycznych i inne promujące dziedzictwo historyczne i kulturowe danego obszaru oraz regionalne tradycje, zwyczaje i o</w:t>
      </w:r>
      <w:r>
        <w:rPr>
          <w:rFonts w:ascii="Times New Roman" w:hAnsi="Times New Roman" w:cs="Times New Roman"/>
          <w:sz w:val="24"/>
          <w:szCs w:val="24"/>
        </w:rPr>
        <w:t xml:space="preserve">brzędy czy też pokazy kulinarne, jeżeli występy te stanowiły merytoryczną część operacji). W przypadku gdy koszty oprawy muzycznej/artystycznej będą ponoszone zarówno na część </w:t>
      </w:r>
      <w:proofErr w:type="spellStart"/>
      <w:r>
        <w:rPr>
          <w:rFonts w:ascii="Times New Roman" w:hAnsi="Times New Roman" w:cs="Times New Roman"/>
          <w:sz w:val="24"/>
          <w:szCs w:val="24"/>
        </w:rPr>
        <w:t>niemerytoryczną</w:t>
      </w:r>
      <w:proofErr w:type="spellEnd"/>
      <w:r>
        <w:rPr>
          <w:rFonts w:ascii="Times New Roman" w:hAnsi="Times New Roman" w:cs="Times New Roman"/>
          <w:sz w:val="24"/>
          <w:szCs w:val="24"/>
        </w:rPr>
        <w:t xml:space="preserve"> </w:t>
      </w:r>
      <w:r>
        <w:rPr>
          <w:rFonts w:ascii="Times New Roman" w:hAnsi="Times New Roman" w:cs="Times New Roman"/>
          <w:sz w:val="24"/>
          <w:szCs w:val="24"/>
        </w:rPr>
        <w:br/>
        <w:t>(np. tylko do uświetnienia realizowanej operacji), jak i na mer</w:t>
      </w:r>
      <w:r>
        <w:rPr>
          <w:rFonts w:ascii="Times New Roman" w:hAnsi="Times New Roman" w:cs="Times New Roman"/>
          <w:sz w:val="24"/>
          <w:szCs w:val="24"/>
        </w:rPr>
        <w:t>ytoryczną, wówczas należy je wyliczyć proporcjonalnie, a za kwalifikowalne zostaną uznane koszty dotyczące tylko części merytorycznej.</w:t>
      </w:r>
    </w:p>
    <w:p w:rsidR="003B68F1" w:rsidRDefault="00511C98">
      <w:pPr>
        <w:spacing w:before="60" w:after="60"/>
        <w:ind w:left="360"/>
        <w:jc w:val="both"/>
        <w:rPr>
          <w:rFonts w:ascii="Times New Roman" w:hAnsi="Times New Roman" w:cs="Times New Roman"/>
          <w:sz w:val="24"/>
          <w:szCs w:val="24"/>
        </w:rPr>
      </w:pPr>
      <w:r>
        <w:rPr>
          <w:rFonts w:ascii="Times New Roman" w:hAnsi="Times New Roman" w:cs="Times New Roman"/>
          <w:sz w:val="24"/>
          <w:szCs w:val="24"/>
        </w:rPr>
        <w:t>Koszty poniesione w związku z wydarzeniami, które ostatecznie nie doszły do skutku (np. odwołane podróże służbowe, niezre</w:t>
      </w:r>
      <w:r>
        <w:rPr>
          <w:rFonts w:ascii="Times New Roman" w:hAnsi="Times New Roman" w:cs="Times New Roman"/>
          <w:sz w:val="24"/>
          <w:szCs w:val="24"/>
        </w:rPr>
        <w:t xml:space="preserve">alizowane szkolenia indywidualne), stanowią koszty niekwalifikowalne </w:t>
      </w:r>
      <w:r>
        <w:rPr>
          <w:rFonts w:ascii="Times New Roman" w:hAnsi="Times New Roman" w:cs="Times New Roman"/>
          <w:sz w:val="24"/>
          <w:szCs w:val="24"/>
          <w:u w:val="single"/>
        </w:rPr>
        <w:t>z wyjątkiem sytuacji</w:t>
      </w:r>
      <w:r>
        <w:rPr>
          <w:rFonts w:ascii="Times New Roman" w:hAnsi="Times New Roman" w:cs="Times New Roman"/>
          <w:sz w:val="24"/>
          <w:szCs w:val="24"/>
        </w:rPr>
        <w:t>, w której przyczyną ich niezrealizowania było działanie siły wyższej, definiowanej jako zdarzenie zewnętrzne, niemożliwe (lub prawie niemożliwe) do przewidzenia, któr</w:t>
      </w:r>
      <w:r>
        <w:rPr>
          <w:rFonts w:ascii="Times New Roman" w:hAnsi="Times New Roman" w:cs="Times New Roman"/>
          <w:sz w:val="24"/>
          <w:szCs w:val="24"/>
        </w:rPr>
        <w:t>ego skutkom nie można zapobiec np. powodzie, pożary, wybuchy wulkanów, zamieszki, strajki. Rozliczenie takich wydatków będzie możliwe za zgodą Agencji Płatniczej po indywidualnej analizie przypadku.</w:t>
      </w:r>
    </w:p>
    <w:p w:rsidR="003B68F1" w:rsidRDefault="00511C98">
      <w:pPr>
        <w:spacing w:before="60" w:after="60"/>
        <w:ind w:left="360"/>
        <w:jc w:val="both"/>
        <w:rPr>
          <w:rFonts w:ascii="Times New Roman" w:hAnsi="Times New Roman" w:cs="Times New Roman"/>
          <w:sz w:val="24"/>
          <w:szCs w:val="24"/>
        </w:rPr>
      </w:pPr>
      <w:r>
        <w:rPr>
          <w:rFonts w:ascii="Times New Roman" w:hAnsi="Times New Roman" w:cs="Times New Roman"/>
          <w:sz w:val="24"/>
          <w:szCs w:val="24"/>
        </w:rPr>
        <w:t xml:space="preserve">Jeżeli usługi, towary i inne dobra, których koszt został </w:t>
      </w:r>
      <w:r>
        <w:rPr>
          <w:rFonts w:ascii="Times New Roman" w:hAnsi="Times New Roman" w:cs="Times New Roman"/>
          <w:sz w:val="24"/>
          <w:szCs w:val="24"/>
        </w:rPr>
        <w:t>wymieniony na liście kosztów niekwalifikowalnych, zostaną zakupione jako nagrody w konkursie w ramach operacji realizowanej w planie operacyjnym, koszt takiego zakupu może zostać uznany za kwalifikowalny.</w:t>
      </w:r>
    </w:p>
    <w:p w:rsidR="003B68F1" w:rsidRDefault="00511C98">
      <w:pPr>
        <w:pStyle w:val="Nagwek1"/>
        <w:jc w:val="both"/>
        <w:rPr>
          <w:rFonts w:ascii="Times New Roman" w:hAnsi="Times New Roman"/>
          <w:color w:val="auto"/>
        </w:rPr>
      </w:pPr>
      <w:bookmarkStart w:id="9" w:name="_Toc10788492"/>
      <w:r>
        <w:rPr>
          <w:rFonts w:ascii="Times New Roman" w:hAnsi="Times New Roman"/>
          <w:color w:val="auto"/>
        </w:rPr>
        <w:lastRenderedPageBreak/>
        <w:t>VIII Stosowanie trybów wyboru wykonawcy określonych</w:t>
      </w:r>
      <w:r>
        <w:rPr>
          <w:rFonts w:ascii="Times New Roman" w:hAnsi="Times New Roman"/>
          <w:color w:val="auto"/>
        </w:rPr>
        <w:t xml:space="preserve"> w ustawie PZP </w:t>
      </w:r>
      <w:r>
        <w:rPr>
          <w:rFonts w:ascii="Times New Roman" w:hAnsi="Times New Roman"/>
          <w:color w:val="auto"/>
        </w:rPr>
        <w:br/>
      </w:r>
      <w:bookmarkEnd w:id="9"/>
    </w:p>
    <w:p w:rsidR="003B68F1" w:rsidRDefault="00511C98">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 ponoszeniu kosztów w ramach realizacji operacji finansowanych z pomocy technicznej PROW 2014-2020 należy stosować przepisy ustawy PZP w tym m.in. przestrzegać zasad udzielania zamówień publicznych </w:t>
      </w:r>
      <w:r>
        <w:rPr>
          <w:rFonts w:ascii="Times New Roman" w:hAnsi="Times New Roman" w:cs="Times New Roman"/>
          <w:sz w:val="24"/>
          <w:szCs w:val="24"/>
        </w:rPr>
        <w:t>w sposób zapewniający zachowanie uczc</w:t>
      </w:r>
      <w:r>
        <w:rPr>
          <w:rFonts w:ascii="Times New Roman" w:hAnsi="Times New Roman" w:cs="Times New Roman"/>
          <w:sz w:val="24"/>
          <w:szCs w:val="24"/>
        </w:rPr>
        <w:t>iwej konkurencji i równe traktowanie wykonawców oraz zgodnie z zasadami proporcjonalności i przejrzystości.</w:t>
      </w:r>
    </w:p>
    <w:p w:rsidR="003B68F1" w:rsidRDefault="00511C98">
      <w:pPr>
        <w:pStyle w:val="Nagwek1"/>
        <w:rPr>
          <w:color w:val="auto"/>
        </w:rPr>
      </w:pPr>
      <w:bookmarkStart w:id="10" w:name="_Toc10788493"/>
      <w:r>
        <w:rPr>
          <w:color w:val="auto"/>
        </w:rPr>
        <w:t>VIII  Przykładowe opinie wydane przez IZ odnośnie do finansowania wydatków w ramach PT PROW 2014-2020</w:t>
      </w:r>
      <w:bookmarkEnd w:id="10"/>
    </w:p>
    <w:p w:rsidR="003B68F1" w:rsidRDefault="003B68F1">
      <w:pPr>
        <w:rPr>
          <w:rFonts w:ascii="Times New Roman" w:hAnsi="Times New Roman" w:cs="Times New Roman"/>
        </w:rPr>
      </w:pPr>
    </w:p>
    <w:p w:rsidR="003B68F1" w:rsidRDefault="00511C98">
      <w:pPr>
        <w:pStyle w:val="Akapitzlist"/>
        <w:numPr>
          <w:ilvl w:val="0"/>
          <w:numId w:val="22"/>
        </w:numPr>
        <w:tabs>
          <w:tab w:val="left" w:pos="284"/>
        </w:tabs>
        <w:spacing w:before="60" w:after="60"/>
        <w:jc w:val="both"/>
        <w:rPr>
          <w:rFonts w:ascii="Times New Roman" w:hAnsi="Times New Roman" w:cs="Times New Roman"/>
          <w:b/>
        </w:rPr>
      </w:pPr>
      <w:r>
        <w:rPr>
          <w:rFonts w:ascii="Times New Roman" w:hAnsi="Times New Roman" w:cs="Times New Roman"/>
          <w:b/>
        </w:rPr>
        <w:t xml:space="preserve">Sytuacja  losowa </w:t>
      </w:r>
    </w:p>
    <w:p w:rsidR="003B68F1" w:rsidRDefault="003B68F1">
      <w:pPr>
        <w:pStyle w:val="Default"/>
        <w:spacing w:before="60" w:after="60" w:line="276" w:lineRule="auto"/>
        <w:ind w:left="1440"/>
        <w:jc w:val="both"/>
        <w:rPr>
          <w:b/>
          <w:color w:val="auto"/>
        </w:rPr>
      </w:pPr>
    </w:p>
    <w:p w:rsidR="003B68F1" w:rsidRDefault="00511C98">
      <w:pPr>
        <w:pStyle w:val="Default"/>
        <w:numPr>
          <w:ilvl w:val="0"/>
          <w:numId w:val="3"/>
        </w:numPr>
        <w:spacing w:before="60" w:after="60" w:line="276" w:lineRule="auto"/>
        <w:jc w:val="both"/>
        <w:rPr>
          <w:color w:val="auto"/>
        </w:rPr>
      </w:pPr>
      <w:r>
        <w:rPr>
          <w:color w:val="auto"/>
        </w:rPr>
        <w:t xml:space="preserve">zaplanowane w ramach planu operacyjnego przedsięwzięcie partnera KSOW </w:t>
      </w:r>
      <w:r>
        <w:rPr>
          <w:color w:val="auto"/>
        </w:rPr>
        <w:br/>
        <w:t>nie odbyło się z powodu sytuacji losowej (huragan):</w:t>
      </w:r>
    </w:p>
    <w:p w:rsidR="003B68F1" w:rsidRDefault="00511C98">
      <w:pPr>
        <w:pStyle w:val="Zwykytekst"/>
        <w:spacing w:before="60" w:after="60" w:line="276" w:lineRule="auto"/>
        <w:jc w:val="both"/>
        <w:rPr>
          <w:rFonts w:ascii="Times New Roman" w:hAnsi="Times New Roman" w:cs="Times New Roman"/>
          <w:sz w:val="24"/>
          <w:szCs w:val="24"/>
        </w:rPr>
      </w:pPr>
      <w:r>
        <w:rPr>
          <w:rFonts w:ascii="Times New Roman" w:hAnsi="Times New Roman" w:cs="Times New Roman"/>
          <w:sz w:val="24"/>
          <w:szCs w:val="24"/>
        </w:rPr>
        <w:t>W zaistniałej sytuacji proponuje się, aby przedsięwzięcie zostało zorganizowane w innym terminie, gospodarując taką wysokością budżet</w:t>
      </w:r>
      <w:r>
        <w:rPr>
          <w:rFonts w:ascii="Times New Roman" w:hAnsi="Times New Roman" w:cs="Times New Roman"/>
          <w:sz w:val="24"/>
          <w:szCs w:val="24"/>
        </w:rPr>
        <w:t>u, na jaką została podpisana umowa pomiędzy województwem a partnerem KSOW, oraz po odjęciu kosztów, które już zostały poniesione. Nienaruszalny powinien pozostać cel operacji, zakładane do osiągnięcia przez wnioskodawcę wskaźniki realizacji operacji oraz o</w:t>
      </w:r>
      <w:r>
        <w:rPr>
          <w:rFonts w:ascii="Times New Roman" w:hAnsi="Times New Roman" w:cs="Times New Roman"/>
          <w:sz w:val="24"/>
          <w:szCs w:val="24"/>
        </w:rPr>
        <w:t xml:space="preserve">stateczny koszt zgłoszony do planu operacyjnego. Dopuszczalna jest zmiana kalkulacji kosztów, przy czym należy pamiętać, że wartość wydatków kwalifikowalnych nie może przekraczać wartości kosztów zatwierdzonych </w:t>
      </w:r>
      <w:r>
        <w:rPr>
          <w:rFonts w:ascii="Times New Roman" w:hAnsi="Times New Roman" w:cs="Times New Roman"/>
          <w:sz w:val="24"/>
          <w:szCs w:val="24"/>
        </w:rPr>
        <w:br/>
        <w:t>w dwuletnim planie operacyjnym.</w:t>
      </w:r>
    </w:p>
    <w:p w:rsidR="003B68F1" w:rsidRDefault="00511C98">
      <w:pPr>
        <w:pStyle w:val="Zwykytekst"/>
        <w:numPr>
          <w:ilvl w:val="0"/>
          <w:numId w:val="3"/>
        </w:numPr>
        <w:spacing w:before="60" w:after="60" w:line="276" w:lineRule="auto"/>
        <w:jc w:val="both"/>
        <w:rPr>
          <w:rFonts w:ascii="Times New Roman" w:hAnsi="Times New Roman" w:cs="Times New Roman"/>
          <w:sz w:val="24"/>
          <w:szCs w:val="24"/>
        </w:rPr>
      </w:pPr>
      <w:r>
        <w:rPr>
          <w:rFonts w:ascii="Times New Roman" w:hAnsi="Times New Roman" w:cs="Times New Roman"/>
          <w:sz w:val="24"/>
          <w:szCs w:val="24"/>
        </w:rPr>
        <w:t>pracownik po</w:t>
      </w:r>
      <w:r>
        <w:rPr>
          <w:rFonts w:ascii="Times New Roman" w:hAnsi="Times New Roman" w:cs="Times New Roman"/>
          <w:sz w:val="24"/>
          <w:szCs w:val="24"/>
        </w:rPr>
        <w:t>dmiotu uprawionego nie pojechał w delegację z powodu zwolnienia lekarskiego:</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 perspektywie 2014-2020 obowiązuje zasada, że koszt, aby mógł zostać uznany </w:t>
      </w:r>
      <w:r>
        <w:rPr>
          <w:rFonts w:ascii="Times New Roman" w:hAnsi="Times New Roman" w:cs="Times New Roman"/>
          <w:sz w:val="24"/>
          <w:szCs w:val="24"/>
        </w:rPr>
        <w:br/>
        <w:t xml:space="preserve">|za kwalifikowalny, musi być m.in. racjonalny i niezbędny dla realizacji operacji, czyli osiągnięcia </w:t>
      </w:r>
      <w:r>
        <w:rPr>
          <w:rFonts w:ascii="Times New Roman" w:hAnsi="Times New Roman" w:cs="Times New Roman"/>
          <w:sz w:val="24"/>
          <w:szCs w:val="24"/>
        </w:rPr>
        <w:t xml:space="preserve">celu. Z uwagi na fakt, że podróż służbowa nie doszła do skutku, jeden </w:t>
      </w:r>
      <w:r>
        <w:rPr>
          <w:rFonts w:ascii="Times New Roman" w:hAnsi="Times New Roman" w:cs="Times New Roman"/>
          <w:sz w:val="24"/>
          <w:szCs w:val="24"/>
        </w:rPr>
        <w:br/>
        <w:t>z powyższych warunków, czyli osiągnięcie celu, nie został spełniony.</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W związku z powyższym, koszt zakupionego biletu lotniczego oraz noclegu nie może zostać uznany jako koszt kwalifikow</w:t>
      </w:r>
      <w:r>
        <w:rPr>
          <w:rFonts w:ascii="Times New Roman" w:hAnsi="Times New Roman" w:cs="Times New Roman"/>
          <w:sz w:val="24"/>
          <w:szCs w:val="24"/>
        </w:rPr>
        <w:t>alny w ramach PT PROW 2014-2020.</w:t>
      </w:r>
    </w:p>
    <w:p w:rsidR="003B68F1" w:rsidRDefault="003B68F1">
      <w:pPr>
        <w:spacing w:before="60" w:after="60"/>
        <w:jc w:val="both"/>
        <w:rPr>
          <w:rFonts w:ascii="Times New Roman" w:hAnsi="Times New Roman" w:cs="Times New Roman"/>
          <w:sz w:val="24"/>
          <w:szCs w:val="24"/>
        </w:rPr>
      </w:pPr>
    </w:p>
    <w:p w:rsidR="003B68F1" w:rsidRDefault="00511C98">
      <w:pPr>
        <w:pStyle w:val="Akapitzlist"/>
        <w:numPr>
          <w:ilvl w:val="0"/>
          <w:numId w:val="22"/>
        </w:numPr>
        <w:tabs>
          <w:tab w:val="left" w:pos="284"/>
        </w:tabs>
        <w:spacing w:before="60" w:after="60"/>
        <w:jc w:val="both"/>
        <w:rPr>
          <w:rFonts w:ascii="Times New Roman" w:hAnsi="Times New Roman" w:cs="Times New Roman"/>
          <w:b/>
          <w:sz w:val="24"/>
          <w:szCs w:val="24"/>
        </w:rPr>
      </w:pPr>
      <w:r>
        <w:rPr>
          <w:rFonts w:ascii="Times New Roman" w:hAnsi="Times New Roman" w:cs="Times New Roman"/>
          <w:b/>
          <w:sz w:val="24"/>
          <w:szCs w:val="24"/>
        </w:rPr>
        <w:t>Bilety lotnicze jako dowód księgowy</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 § 3 rozporządzenia w sprawie wystawiania faktur zostały określone przypadki, w których faktury mogą zawierać węższy zakres danych. Mianowicie faktura dokumentująca przejazd autostradą płatną lub przejazd na odległość nie mniejszą niż 50 km, wystawiana w </w:t>
      </w:r>
      <w:r>
        <w:rPr>
          <w:rFonts w:ascii="Times New Roman" w:hAnsi="Times New Roman" w:cs="Times New Roman"/>
          <w:sz w:val="24"/>
          <w:szCs w:val="24"/>
        </w:rPr>
        <w:t>formie biletu jednorazowego przez podatników uprawnionych do świadczenia usług polegających na przewozie osób: kolejami normalnotorowymi, taborem samochodowym, statkami pełnomorskimi, środkami transportu żeglugi śródlądowej i przybrzeżnej, promami, samolot</w:t>
      </w:r>
      <w:r>
        <w:rPr>
          <w:rFonts w:ascii="Times New Roman" w:hAnsi="Times New Roman" w:cs="Times New Roman"/>
          <w:sz w:val="24"/>
          <w:szCs w:val="24"/>
        </w:rPr>
        <w:t xml:space="preserve">ami i śmigłowcami, powinna zawierać: numer i datę wystawienia, imię i nazwisko </w:t>
      </w:r>
      <w:r>
        <w:rPr>
          <w:rFonts w:ascii="Times New Roman" w:hAnsi="Times New Roman" w:cs="Times New Roman"/>
          <w:sz w:val="24"/>
          <w:szCs w:val="24"/>
        </w:rPr>
        <w:lastRenderedPageBreak/>
        <w:t>lub nazwę podatnika, numer, za pomocą którego podatnik jest zidentyfikowany na potrzeby podatku, informacje pozwalające na identyfikację rodzaju usługi, kwotę podatku, kwotę nal</w:t>
      </w:r>
      <w:r>
        <w:rPr>
          <w:rFonts w:ascii="Times New Roman" w:hAnsi="Times New Roman" w:cs="Times New Roman"/>
          <w:sz w:val="24"/>
          <w:szCs w:val="24"/>
        </w:rPr>
        <w:t>eżności ogółem. Zgodnie z ww. rozporządzeniem, możliwe jest uznanie biletu lotniczego za fakturę dokumentującą przewóz osób, pod warunkiem, że bilet ten spełnia wszystkie warunki określone w ww. rozporządzeniu, tzn. jest wystawiony przez podatnika uprawnio</w:t>
      </w:r>
      <w:r>
        <w:rPr>
          <w:rFonts w:ascii="Times New Roman" w:hAnsi="Times New Roman" w:cs="Times New Roman"/>
          <w:sz w:val="24"/>
          <w:szCs w:val="24"/>
        </w:rPr>
        <w:t xml:space="preserve">nego do świadczenia usług i zawiera wszystkie dane określone w § 3 ww. rozporządzenia. Jednocześnie do refundacji należałoby przedłożyć bilet/bilety wraz </w:t>
      </w:r>
      <w:r>
        <w:rPr>
          <w:rFonts w:ascii="Times New Roman" w:hAnsi="Times New Roman" w:cs="Times New Roman"/>
          <w:sz w:val="24"/>
          <w:szCs w:val="24"/>
        </w:rPr>
        <w:br/>
        <w:t>z paragonem oraz potwierdzenie płatności i potwierdzenie rezerwacji.</w:t>
      </w:r>
    </w:p>
    <w:p w:rsidR="003B68F1" w:rsidRDefault="003B68F1">
      <w:pPr>
        <w:spacing w:before="60" w:after="60"/>
        <w:jc w:val="both"/>
        <w:rPr>
          <w:rFonts w:ascii="Times New Roman" w:hAnsi="Times New Roman" w:cs="Times New Roman"/>
          <w:sz w:val="24"/>
          <w:szCs w:val="24"/>
        </w:rPr>
      </w:pPr>
    </w:p>
    <w:p w:rsidR="003B68F1" w:rsidRDefault="00511C98">
      <w:pPr>
        <w:pStyle w:val="Akapitzlist"/>
        <w:numPr>
          <w:ilvl w:val="0"/>
          <w:numId w:val="22"/>
        </w:numPr>
        <w:tabs>
          <w:tab w:val="left" w:pos="284"/>
        </w:tabs>
        <w:spacing w:before="60" w:after="60"/>
        <w:jc w:val="both"/>
        <w:rPr>
          <w:rFonts w:ascii="Times New Roman" w:hAnsi="Times New Roman" w:cs="Times New Roman"/>
          <w:b/>
          <w:bCs/>
          <w:sz w:val="24"/>
          <w:szCs w:val="24"/>
        </w:rPr>
      </w:pPr>
      <w:r>
        <w:rPr>
          <w:rFonts w:ascii="Times New Roman" w:hAnsi="Times New Roman" w:cs="Times New Roman"/>
          <w:b/>
          <w:bCs/>
          <w:sz w:val="24"/>
          <w:szCs w:val="24"/>
        </w:rPr>
        <w:t xml:space="preserve">Karta podarunkowa jako nagroda </w:t>
      </w:r>
      <w:r>
        <w:rPr>
          <w:rFonts w:ascii="Times New Roman" w:hAnsi="Times New Roman" w:cs="Times New Roman"/>
          <w:b/>
          <w:bCs/>
          <w:sz w:val="24"/>
          <w:szCs w:val="24"/>
        </w:rPr>
        <w:t>w konkursie</w:t>
      </w:r>
    </w:p>
    <w:p w:rsidR="003B68F1" w:rsidRDefault="00511C98">
      <w:pPr>
        <w:tabs>
          <w:tab w:val="left" w:pos="284"/>
        </w:tabs>
        <w:spacing w:before="60" w:after="60"/>
        <w:jc w:val="both"/>
        <w:rPr>
          <w:rFonts w:ascii="Times New Roman" w:hAnsi="Times New Roman" w:cs="Times New Roman"/>
          <w:sz w:val="24"/>
          <w:szCs w:val="24"/>
        </w:rPr>
      </w:pPr>
      <w:r>
        <w:rPr>
          <w:rFonts w:ascii="Times New Roman" w:hAnsi="Times New Roman" w:cs="Times New Roman"/>
          <w:bCs/>
          <w:sz w:val="24"/>
          <w:szCs w:val="24"/>
        </w:rPr>
        <w:t xml:space="preserve">Zakup karty podarunkowej jako nagrody w konkursie stanowi koszt kwalifikowalny, jeżeli koszt tego zakupu jest racjonalny, zasadny oraz </w:t>
      </w:r>
      <w:r>
        <w:rPr>
          <w:rFonts w:ascii="Times New Roman" w:hAnsi="Times New Roman" w:cs="Times New Roman"/>
          <w:sz w:val="24"/>
          <w:szCs w:val="24"/>
        </w:rPr>
        <w:t>został ujęty w planie operacyjnym.</w:t>
      </w:r>
    </w:p>
    <w:p w:rsidR="003B68F1" w:rsidRDefault="003B68F1">
      <w:pPr>
        <w:tabs>
          <w:tab w:val="left" w:pos="284"/>
        </w:tabs>
        <w:spacing w:before="60" w:after="60"/>
        <w:jc w:val="both"/>
        <w:rPr>
          <w:rFonts w:ascii="Times New Roman" w:hAnsi="Times New Roman" w:cs="Times New Roman"/>
          <w:bCs/>
          <w:sz w:val="24"/>
          <w:szCs w:val="24"/>
        </w:rPr>
      </w:pPr>
    </w:p>
    <w:p w:rsidR="003B68F1" w:rsidRDefault="00511C98">
      <w:pPr>
        <w:pStyle w:val="Akapitzlist"/>
        <w:numPr>
          <w:ilvl w:val="0"/>
          <w:numId w:val="22"/>
        </w:numPr>
        <w:tabs>
          <w:tab w:val="left" w:pos="284"/>
        </w:tabs>
        <w:spacing w:before="60" w:after="60"/>
        <w:jc w:val="both"/>
        <w:rPr>
          <w:rFonts w:ascii="Times New Roman" w:hAnsi="Times New Roman" w:cs="Times New Roman"/>
          <w:b/>
          <w:bCs/>
          <w:sz w:val="24"/>
          <w:szCs w:val="24"/>
        </w:rPr>
      </w:pPr>
      <w:r>
        <w:rPr>
          <w:rFonts w:ascii="Times New Roman" w:hAnsi="Times New Roman" w:cs="Times New Roman"/>
          <w:b/>
          <w:bCs/>
          <w:sz w:val="24"/>
          <w:szCs w:val="24"/>
        </w:rPr>
        <w:t>Zakup regałów na potrzeby zarchiwizowania dokumentów dot. PT PROW 2007-20</w:t>
      </w:r>
      <w:r>
        <w:rPr>
          <w:rFonts w:ascii="Times New Roman" w:hAnsi="Times New Roman" w:cs="Times New Roman"/>
          <w:b/>
          <w:bCs/>
          <w:sz w:val="24"/>
          <w:szCs w:val="24"/>
        </w:rPr>
        <w:t>13</w:t>
      </w:r>
    </w:p>
    <w:p w:rsidR="003B68F1" w:rsidRDefault="00511C98">
      <w:p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Koszty dot. poprzednich okresów programowania wpisują się w obszar finansowania pomocy technicznej PROW 2014-2020, tak więc zakup regałów niezbędnych do przeprowadzenia archiwizacji materiałów związanych z PROW 2007-2013 stanowi koszt kwalifikowalny.</w:t>
      </w:r>
    </w:p>
    <w:p w:rsidR="003B68F1" w:rsidRDefault="003B68F1">
      <w:pPr>
        <w:tabs>
          <w:tab w:val="left" w:pos="284"/>
        </w:tabs>
        <w:spacing w:before="60" w:after="60"/>
        <w:jc w:val="both"/>
        <w:rPr>
          <w:rFonts w:ascii="Times New Roman" w:hAnsi="Times New Roman" w:cs="Times New Roman"/>
          <w:sz w:val="24"/>
          <w:szCs w:val="24"/>
        </w:rPr>
      </w:pPr>
    </w:p>
    <w:p w:rsidR="003B68F1" w:rsidRDefault="00511C98">
      <w:pPr>
        <w:pStyle w:val="Akapitzlist"/>
        <w:numPr>
          <w:ilvl w:val="0"/>
          <w:numId w:val="22"/>
        </w:numPr>
        <w:tabs>
          <w:tab w:val="left" w:pos="284"/>
        </w:tabs>
        <w:spacing w:before="60" w:after="6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oszty związane z organizacją stoisk na targach</w:t>
      </w:r>
    </w:p>
    <w:p w:rsidR="003B68F1" w:rsidRDefault="00511C98">
      <w:pPr>
        <w:pStyle w:val="Akapitzlist"/>
        <w:numPr>
          <w:ilvl w:val="0"/>
          <w:numId w:val="4"/>
        </w:numPr>
        <w:tabs>
          <w:tab w:val="left" w:pos="284"/>
        </w:tabs>
        <w:spacing w:before="60" w:after="60"/>
        <w:jc w:val="both"/>
        <w:rPr>
          <w:rFonts w:ascii="Times New Roman" w:hAnsi="Times New Roman" w:cs="Times New Roman"/>
          <w:sz w:val="24"/>
          <w:szCs w:val="24"/>
        </w:rPr>
      </w:pPr>
      <w:r>
        <w:rPr>
          <w:rFonts w:ascii="Times New Roman" w:hAnsi="Times New Roman" w:cs="Times New Roman"/>
          <w:bCs/>
          <w:sz w:val="24"/>
          <w:szCs w:val="24"/>
        </w:rPr>
        <w:t xml:space="preserve">uszycie strojów dla osób obsługujących stoisko na targach oraz przygotowanie dekoracji: </w:t>
      </w:r>
    </w:p>
    <w:p w:rsidR="003B68F1" w:rsidRDefault="00511C98">
      <w:p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Zgodnie z przepisami w zakresie PT PROW 2014-2020, aby dany koszt mógł zostać uznany za kwalifikowalny, musi być m.in. uzasadniony zakresem operacji i niezbędny do osiągnięcia jej celu oraz  racjonalny. Jeżeli będą spełnione powyższe warunki, wydaje się, </w:t>
      </w:r>
      <w:r>
        <w:rPr>
          <w:rFonts w:ascii="Times New Roman" w:hAnsi="Times New Roman" w:cs="Times New Roman"/>
          <w:sz w:val="24"/>
          <w:szCs w:val="24"/>
        </w:rPr>
        <w:br/>
      </w:r>
      <w:r>
        <w:rPr>
          <w:rFonts w:ascii="Times New Roman" w:hAnsi="Times New Roman" w:cs="Times New Roman"/>
          <w:sz w:val="24"/>
          <w:szCs w:val="24"/>
        </w:rPr>
        <w:t xml:space="preserve">że przedmiotowe koszty mogą być kwalifikowalne. Ponadto należy pamiętać </w:t>
      </w:r>
      <w:r>
        <w:rPr>
          <w:rFonts w:ascii="Times New Roman" w:hAnsi="Times New Roman" w:cs="Times New Roman"/>
          <w:sz w:val="24"/>
          <w:szCs w:val="24"/>
        </w:rPr>
        <w:br/>
        <w:t xml:space="preserve">o trwałym </w:t>
      </w:r>
      <w:proofErr w:type="spellStart"/>
      <w:r>
        <w:rPr>
          <w:rFonts w:ascii="Times New Roman" w:hAnsi="Times New Roman" w:cs="Times New Roman"/>
          <w:sz w:val="24"/>
          <w:szCs w:val="24"/>
        </w:rPr>
        <w:t>ologowaniu</w:t>
      </w:r>
      <w:proofErr w:type="spellEnd"/>
      <w:r>
        <w:rPr>
          <w:rFonts w:ascii="Times New Roman" w:hAnsi="Times New Roman" w:cs="Times New Roman"/>
          <w:sz w:val="24"/>
          <w:szCs w:val="24"/>
        </w:rPr>
        <w:t xml:space="preserve"> zarówno stoiska, jak i strojów regionalnych. </w:t>
      </w:r>
    </w:p>
    <w:p w:rsidR="003B68F1" w:rsidRDefault="00511C98">
      <w:pPr>
        <w:pStyle w:val="Akapitzlist"/>
        <w:numPr>
          <w:ilvl w:val="0"/>
          <w:numId w:val="4"/>
        </w:numPr>
        <w:tabs>
          <w:tab w:val="left" w:pos="284"/>
        </w:tabs>
        <w:spacing w:before="60" w:after="60"/>
        <w:jc w:val="both"/>
        <w:rPr>
          <w:rFonts w:ascii="Times New Roman" w:hAnsi="Times New Roman" w:cs="Times New Roman"/>
          <w:sz w:val="24"/>
          <w:szCs w:val="24"/>
        </w:rPr>
      </w:pPr>
      <w:r>
        <w:rPr>
          <w:rFonts w:ascii="Times New Roman" w:hAnsi="Times New Roman" w:cs="Times New Roman"/>
          <w:bCs/>
          <w:sz w:val="24"/>
          <w:szCs w:val="24"/>
        </w:rPr>
        <w:t xml:space="preserve">wyposażenie oraz przechowywanie  stoiska ze środków przeznaczonych </w:t>
      </w:r>
      <w:r>
        <w:rPr>
          <w:rFonts w:ascii="Times New Roman" w:hAnsi="Times New Roman" w:cs="Times New Roman"/>
          <w:bCs/>
          <w:sz w:val="24"/>
          <w:szCs w:val="24"/>
        </w:rPr>
        <w:br/>
        <w:t>na funkcjonowanie KSOW:</w:t>
      </w:r>
    </w:p>
    <w:p w:rsidR="003B68F1" w:rsidRDefault="00511C98">
      <w:p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Koszt zakupu wyposażenia</w:t>
      </w:r>
      <w:r>
        <w:rPr>
          <w:rFonts w:ascii="Times New Roman" w:hAnsi="Times New Roman" w:cs="Times New Roman"/>
          <w:sz w:val="24"/>
          <w:szCs w:val="24"/>
        </w:rPr>
        <w:t xml:space="preserve"> stoiska wystawienniczego oraz przechowywania stanowi koszt kwalifikowalny w ramach PT PROW 2014-2020. Natomiast zgodnie z przepisami w zakresie PT PROW 2014-2020 zakłada się, że koszt, aby mógł zostać uznany za kwalifikowalny, musi być m.in. uzasadniony z</w:t>
      </w:r>
      <w:r>
        <w:rPr>
          <w:rFonts w:ascii="Times New Roman" w:hAnsi="Times New Roman" w:cs="Times New Roman"/>
          <w:sz w:val="24"/>
          <w:szCs w:val="24"/>
        </w:rPr>
        <w:t xml:space="preserve">akresem operacji i niezbędny do osiągnięcia jej celu oraz racjonalny. </w:t>
      </w:r>
    </w:p>
    <w:p w:rsidR="003B68F1" w:rsidRDefault="003B68F1">
      <w:pPr>
        <w:tabs>
          <w:tab w:val="left" w:pos="284"/>
        </w:tabs>
        <w:spacing w:before="60" w:after="60"/>
        <w:jc w:val="both"/>
        <w:rPr>
          <w:rFonts w:ascii="Times New Roman" w:hAnsi="Times New Roman" w:cs="Times New Roman"/>
          <w:sz w:val="24"/>
          <w:szCs w:val="24"/>
        </w:rPr>
      </w:pPr>
    </w:p>
    <w:p w:rsidR="003B68F1" w:rsidRDefault="00511C98">
      <w:pPr>
        <w:pStyle w:val="Akapitzlist"/>
        <w:numPr>
          <w:ilvl w:val="0"/>
          <w:numId w:val="22"/>
        </w:numPr>
        <w:tabs>
          <w:tab w:val="left" w:pos="284"/>
        </w:tabs>
        <w:spacing w:before="60" w:after="60"/>
        <w:jc w:val="both"/>
        <w:rPr>
          <w:rFonts w:ascii="Times New Roman" w:hAnsi="Times New Roman" w:cs="Times New Roman"/>
          <w:b/>
          <w:sz w:val="24"/>
          <w:szCs w:val="24"/>
        </w:rPr>
      </w:pPr>
      <w:r>
        <w:rPr>
          <w:rFonts w:ascii="Times New Roman" w:hAnsi="Times New Roman" w:cs="Times New Roman"/>
          <w:b/>
          <w:sz w:val="24"/>
          <w:szCs w:val="24"/>
        </w:rPr>
        <w:t>Koszty niezbędne do realizacji operacji</w:t>
      </w:r>
    </w:p>
    <w:p w:rsidR="003B68F1" w:rsidRDefault="003B68F1">
      <w:pPr>
        <w:pStyle w:val="Akapitzlist"/>
        <w:tabs>
          <w:tab w:val="left" w:pos="284"/>
        </w:tabs>
        <w:spacing w:before="60" w:after="60"/>
        <w:ind w:left="360"/>
        <w:jc w:val="both"/>
        <w:rPr>
          <w:rFonts w:ascii="Times New Roman" w:hAnsi="Times New Roman" w:cs="Times New Roman"/>
          <w:b/>
          <w:sz w:val="24"/>
          <w:szCs w:val="24"/>
          <w:u w:val="single"/>
        </w:rPr>
      </w:pPr>
    </w:p>
    <w:p w:rsidR="003B68F1" w:rsidRDefault="00511C98">
      <w:pPr>
        <w:pStyle w:val="Akapitzlist"/>
        <w:numPr>
          <w:ilvl w:val="0"/>
          <w:numId w:val="5"/>
        </w:numPr>
        <w:tabs>
          <w:tab w:val="left" w:pos="284"/>
        </w:tabs>
        <w:spacing w:before="60" w:after="60"/>
        <w:jc w:val="both"/>
        <w:rPr>
          <w:rFonts w:ascii="Times New Roman" w:hAnsi="Times New Roman" w:cs="Times New Roman"/>
          <w:sz w:val="24"/>
          <w:szCs w:val="24"/>
        </w:rPr>
      </w:pPr>
      <w:r>
        <w:rPr>
          <w:rFonts w:ascii="Times New Roman" w:hAnsi="Times New Roman" w:cs="Times New Roman"/>
          <w:bCs/>
          <w:sz w:val="24"/>
          <w:szCs w:val="24"/>
        </w:rPr>
        <w:t>ubrania ochronne:</w:t>
      </w:r>
    </w:p>
    <w:p w:rsidR="003B68F1" w:rsidRDefault="00511C98">
      <w:p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 xml:space="preserve">Do kosztów organizacji operacji mogą zostać zaliczone koszty zakupu materiałów oraz ubrań, które to koszty spełniają warunki </w:t>
      </w:r>
      <w:r>
        <w:rPr>
          <w:rFonts w:ascii="Times New Roman" w:hAnsi="Times New Roman" w:cs="Times New Roman"/>
          <w:sz w:val="24"/>
          <w:szCs w:val="24"/>
        </w:rPr>
        <w:t xml:space="preserve">kwalifikowalności oraz dotyczą materiałów/ubrań, </w:t>
      </w:r>
      <w:r>
        <w:rPr>
          <w:rFonts w:ascii="Times New Roman" w:hAnsi="Times New Roman" w:cs="Times New Roman"/>
          <w:sz w:val="24"/>
          <w:szCs w:val="24"/>
        </w:rPr>
        <w:lastRenderedPageBreak/>
        <w:t>które są zużywalne (jednorazowe), w tym ubrania ochronne czy odczynniki do przeprowadzenia badania podczas warsztatów itp. Nie można natomiast zaliczyć do nich kosztów zakupu materiałów/sprzętów, które pozos</w:t>
      </w:r>
      <w:r>
        <w:rPr>
          <w:rFonts w:ascii="Times New Roman" w:hAnsi="Times New Roman" w:cs="Times New Roman"/>
          <w:sz w:val="24"/>
          <w:szCs w:val="24"/>
        </w:rPr>
        <w:t xml:space="preserve">tają w posiadaniu partnera KSOW po przeprowadzeniu operacji i mogłyby stanowić jego majątek organizatora. Inaczej wygląda sytuacja beneficjentów PT PROW 2014–2020, którzy w ramach schematu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wsparcia funkcjonowania KSOW mogą ponosić wydatki na zakup środ</w:t>
      </w:r>
      <w:r>
        <w:rPr>
          <w:rFonts w:ascii="Times New Roman" w:hAnsi="Times New Roman" w:cs="Times New Roman"/>
          <w:sz w:val="24"/>
          <w:szCs w:val="24"/>
        </w:rPr>
        <w:t xml:space="preserve">ków trwałych do wysokości określonej </w:t>
      </w:r>
      <w:r>
        <w:rPr>
          <w:rFonts w:ascii="Times New Roman" w:hAnsi="Times New Roman" w:cs="Times New Roman"/>
          <w:sz w:val="24"/>
          <w:szCs w:val="24"/>
        </w:rPr>
        <w:br/>
        <w:t>w umowach dotacji celowych.</w:t>
      </w:r>
    </w:p>
    <w:p w:rsidR="003B68F1" w:rsidRDefault="00511C98">
      <w:pPr>
        <w:pStyle w:val="Akapitzlist"/>
        <w:numPr>
          <w:ilvl w:val="0"/>
          <w:numId w:val="5"/>
        </w:num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faktura za parking:</w:t>
      </w:r>
    </w:p>
    <w:p w:rsidR="003B68F1" w:rsidRDefault="00511C98">
      <w:pPr>
        <w:spacing w:before="60" w:after="60"/>
        <w:jc w:val="both"/>
      </w:pPr>
      <w:r>
        <w:rPr>
          <w:rFonts w:ascii="Times New Roman" w:hAnsi="Times New Roman" w:cs="Times New Roman"/>
          <w:sz w:val="24"/>
          <w:szCs w:val="24"/>
        </w:rPr>
        <w:t xml:space="preserve">Faktura za parking w ramach wyjazdu służbowego jest dowodem poniesienia kosztu kwalifikowalnego pod warunkiem, że delegacja służbowa będzie uznana za celową </w:t>
      </w:r>
      <w:r>
        <w:rPr>
          <w:rFonts w:ascii="Times New Roman" w:hAnsi="Times New Roman" w:cs="Times New Roman"/>
          <w:sz w:val="24"/>
          <w:szCs w:val="24"/>
        </w:rPr>
        <w:br/>
        <w:t>i niezbędną;</w:t>
      </w:r>
      <w:r>
        <w:rPr>
          <w:rFonts w:ascii="Times New Roman" w:hAnsi="Times New Roman" w:cs="Times New Roman"/>
          <w:sz w:val="24"/>
          <w:szCs w:val="24"/>
        </w:rPr>
        <w:t xml:space="preserve"> wówczas wszelkie niezbędne koszty związane z delegacją mogą stanowić  koszt kwalifikowalny</w:t>
      </w:r>
      <w:r>
        <w:t>.</w:t>
      </w:r>
    </w:p>
    <w:p w:rsidR="003B68F1" w:rsidRDefault="00511C98">
      <w:pPr>
        <w:pStyle w:val="Akapitzlist"/>
        <w:numPr>
          <w:ilvl w:val="0"/>
          <w:numId w:val="5"/>
        </w:numPr>
        <w:tabs>
          <w:tab w:val="left" w:pos="284"/>
        </w:tabs>
        <w:spacing w:before="60" w:after="60"/>
        <w:jc w:val="both"/>
        <w:rPr>
          <w:rFonts w:ascii="Times New Roman" w:hAnsi="Times New Roman" w:cs="Times New Roman"/>
          <w:sz w:val="24"/>
        </w:rPr>
      </w:pPr>
      <w:r>
        <w:rPr>
          <w:rFonts w:ascii="Times New Roman" w:hAnsi="Times New Roman" w:cs="Times New Roman"/>
          <w:sz w:val="24"/>
        </w:rPr>
        <w:t>Zakup oprogramowania:</w:t>
      </w:r>
    </w:p>
    <w:p w:rsidR="003B68F1" w:rsidRDefault="00511C98">
      <w:pPr>
        <w:tabs>
          <w:tab w:val="left" w:pos="284"/>
        </w:tabs>
        <w:spacing w:before="60" w:after="60"/>
        <w:jc w:val="both"/>
        <w:rPr>
          <w:rFonts w:ascii="Times New Roman" w:hAnsi="Times New Roman" w:cs="Times New Roman"/>
          <w:sz w:val="24"/>
        </w:rPr>
      </w:pPr>
      <w:r>
        <w:rPr>
          <w:rFonts w:ascii="Times New Roman" w:hAnsi="Times New Roman" w:cs="Times New Roman"/>
          <w:sz w:val="24"/>
        </w:rPr>
        <w:t xml:space="preserve">Zakup oprogramowania może zostać sfinansowany ze środków przeznaczonych na wsparcie funkcjonowania struktury ODR pod warunkiem, iż oprogramowanie będzie wykorzystywane przez pracowników Ośrodka jako niezbędne do realizacji przez nich zadań w ramach SIR. </w:t>
      </w:r>
      <w:r>
        <w:rPr>
          <w:rFonts w:ascii="Times New Roman" w:hAnsi="Times New Roman" w:cs="Times New Roman"/>
          <w:sz w:val="24"/>
        </w:rPr>
        <w:br/>
        <w:t>Z</w:t>
      </w:r>
      <w:r>
        <w:rPr>
          <w:rFonts w:ascii="Times New Roman" w:hAnsi="Times New Roman" w:cs="Times New Roman"/>
          <w:sz w:val="24"/>
        </w:rPr>
        <w:t xml:space="preserve">a środki z planu operacyjnego można nabywać w ramach dostaw wyłącznie takie rzeczy/towary, które zostaną zużyte w trakcie realizacji operacji, na potrzeby której zostały nabyte. Oprogramowanie nie należy do takich towarów. W takim przypadku można </w:t>
      </w:r>
      <w:r>
        <w:rPr>
          <w:rFonts w:ascii="Times New Roman" w:hAnsi="Times New Roman" w:cs="Times New Roman"/>
          <w:sz w:val="24"/>
        </w:rPr>
        <w:br/>
        <w:t>by sfina</w:t>
      </w:r>
      <w:r>
        <w:rPr>
          <w:rFonts w:ascii="Times New Roman" w:hAnsi="Times New Roman" w:cs="Times New Roman"/>
          <w:sz w:val="24"/>
        </w:rPr>
        <w:t xml:space="preserve">nsować z planu operacyjnego wyłącznie opłaty licencyjne z tytułu korzystania </w:t>
      </w:r>
      <w:r>
        <w:rPr>
          <w:rFonts w:ascii="Times New Roman" w:hAnsi="Times New Roman" w:cs="Times New Roman"/>
          <w:sz w:val="24"/>
        </w:rPr>
        <w:br/>
        <w:t>z oprogramowania w trakcie realizacji danej operacji albo w ramach usługi wynająć oprogramowanie/sprzęt z oprogramowaniem na czas trwania danej operacji.</w:t>
      </w:r>
    </w:p>
    <w:p w:rsidR="003B68F1" w:rsidRDefault="003B68F1">
      <w:pPr>
        <w:tabs>
          <w:tab w:val="left" w:pos="284"/>
        </w:tabs>
        <w:spacing w:before="60" w:after="60"/>
        <w:jc w:val="both"/>
        <w:rPr>
          <w:rFonts w:ascii="Times New Roman" w:hAnsi="Times New Roman" w:cs="Times New Roman"/>
          <w:sz w:val="24"/>
        </w:rPr>
      </w:pPr>
    </w:p>
    <w:p w:rsidR="003B68F1" w:rsidRDefault="00511C98">
      <w:pPr>
        <w:pStyle w:val="Akapitzlist"/>
        <w:numPr>
          <w:ilvl w:val="0"/>
          <w:numId w:val="22"/>
        </w:numPr>
        <w:spacing w:before="60" w:after="60"/>
        <w:jc w:val="both"/>
        <w:rPr>
          <w:rFonts w:ascii="Times New Roman" w:hAnsi="Times New Roman" w:cs="Times New Roman"/>
          <w:b/>
          <w:sz w:val="24"/>
          <w:szCs w:val="24"/>
        </w:rPr>
      </w:pPr>
      <w:r>
        <w:rPr>
          <w:rFonts w:ascii="Times New Roman" w:hAnsi="Times New Roman" w:cs="Times New Roman"/>
          <w:b/>
          <w:sz w:val="24"/>
          <w:szCs w:val="24"/>
        </w:rPr>
        <w:t xml:space="preserve">Różnice kursowe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color w:val="000000"/>
          <w:sz w:val="24"/>
          <w:szCs w:val="24"/>
        </w:rPr>
        <w:t>Koszt,</w:t>
      </w:r>
      <w:r>
        <w:rPr>
          <w:rFonts w:ascii="Times New Roman" w:hAnsi="Times New Roman" w:cs="Times New Roman"/>
          <w:color w:val="000000"/>
          <w:sz w:val="24"/>
          <w:szCs w:val="24"/>
        </w:rPr>
        <w:t xml:space="preserve"> by mógł być uznany za kwalifikowany, musi być rzeczywiście poniesiony, </w:t>
      </w:r>
      <w:r>
        <w:rPr>
          <w:rFonts w:ascii="Times New Roman" w:hAnsi="Times New Roman" w:cs="Times New Roman"/>
          <w:color w:val="000000"/>
          <w:sz w:val="24"/>
          <w:szCs w:val="24"/>
        </w:rPr>
        <w:br/>
        <w:t>tj. przeliczony zgodnie z ustawą o rachunkowości po kursie faktycznie zastosowanym w tym dniu wynikającym z charakteru operacji – w przypadku sprzedaży lub kupna walut oraz zapłaty na</w:t>
      </w:r>
      <w:r>
        <w:rPr>
          <w:rFonts w:ascii="Times New Roman" w:hAnsi="Times New Roman" w:cs="Times New Roman"/>
          <w:color w:val="000000"/>
          <w:sz w:val="24"/>
          <w:szCs w:val="24"/>
        </w:rPr>
        <w:t>leżności lub zobowiązań.</w:t>
      </w:r>
      <w:r>
        <w:rPr>
          <w:rFonts w:ascii="Times New Roman" w:hAnsi="Times New Roman" w:cs="Times New Roman"/>
          <w:sz w:val="24"/>
          <w:szCs w:val="24"/>
        </w:rPr>
        <w:t xml:space="preserve"> W przypadku płatności bezgotówkowych, za koszt, który będzie mógł podlegać refundacji, uznana będzie kwota będąca równowartością kwoty obciążającej beneficjenta w walucie obcej, przyjmując kurs faktycznie zastosowany przez bank obs</w:t>
      </w:r>
      <w:r>
        <w:rPr>
          <w:rFonts w:ascii="Times New Roman" w:hAnsi="Times New Roman" w:cs="Times New Roman"/>
          <w:sz w:val="24"/>
          <w:szCs w:val="24"/>
        </w:rPr>
        <w:t xml:space="preserve">ługujący beneficjenta w dniu dokonania przelewu. W przypadku gdy nie jest możliwe zastosowanie kursu sprzedaży danego banku, wydatki kwalifikowalne poniesione </w:t>
      </w:r>
      <w:r>
        <w:rPr>
          <w:rFonts w:ascii="Times New Roman" w:hAnsi="Times New Roman" w:cs="Times New Roman"/>
          <w:sz w:val="24"/>
          <w:szCs w:val="24"/>
        </w:rPr>
        <w:br/>
        <w:t>w walucie obcej należy przeliczyć po innym kursie, zgodnym z obowiązującymi przepisami prawa ora</w:t>
      </w:r>
      <w:r>
        <w:rPr>
          <w:rFonts w:ascii="Times New Roman" w:hAnsi="Times New Roman" w:cs="Times New Roman"/>
          <w:sz w:val="24"/>
          <w:szCs w:val="24"/>
        </w:rPr>
        <w:t>z obowiązującą polityką rachunkowości beneficjenta.</w:t>
      </w:r>
    </w:p>
    <w:p w:rsidR="003B68F1" w:rsidRDefault="003B68F1">
      <w:pPr>
        <w:spacing w:before="60" w:after="60"/>
        <w:jc w:val="both"/>
        <w:rPr>
          <w:rFonts w:ascii="Times New Roman" w:hAnsi="Times New Roman" w:cs="Times New Roman"/>
          <w:b/>
          <w:sz w:val="24"/>
          <w:szCs w:val="24"/>
          <w:u w:val="single"/>
        </w:rPr>
      </w:pPr>
    </w:p>
    <w:p w:rsidR="003B68F1" w:rsidRDefault="00511C98">
      <w:pPr>
        <w:pStyle w:val="Akapitzlist"/>
        <w:numPr>
          <w:ilvl w:val="0"/>
          <w:numId w:val="22"/>
        </w:numPr>
        <w:spacing w:before="60" w:after="60"/>
        <w:jc w:val="both"/>
        <w:rPr>
          <w:rFonts w:ascii="Times New Roman" w:hAnsi="Times New Roman" w:cs="Times New Roman"/>
          <w:b/>
          <w:sz w:val="24"/>
          <w:szCs w:val="24"/>
        </w:rPr>
      </w:pPr>
      <w:r>
        <w:rPr>
          <w:rFonts w:ascii="Times New Roman" w:hAnsi="Times New Roman" w:cs="Times New Roman"/>
          <w:b/>
          <w:sz w:val="24"/>
          <w:szCs w:val="24"/>
        </w:rPr>
        <w:t xml:space="preserve">Wizualizacja na materiałach szkoleniowych </w:t>
      </w:r>
    </w:p>
    <w:p w:rsidR="003B68F1" w:rsidRDefault="00511C9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Beneficjenta/partnera KSOW obowiązują zapisy zawartej umowy na realizację operacji </w:t>
      </w:r>
      <w:r>
        <w:rPr>
          <w:rFonts w:ascii="Times New Roman" w:hAnsi="Times New Roman" w:cs="Times New Roman"/>
          <w:sz w:val="24"/>
          <w:szCs w:val="24"/>
        </w:rPr>
        <w:br/>
      </w:r>
      <w:r>
        <w:rPr>
          <w:rFonts w:ascii="Times New Roman" w:hAnsi="Times New Roman" w:cs="Times New Roman"/>
          <w:sz w:val="24"/>
          <w:szCs w:val="24"/>
        </w:rPr>
        <w:t xml:space="preserve">w ramach Planu operacyjnego KSOW. Jeżeli w umowie zawartej na realizację operacji taki partner zobowiązał się do informowania i rozpowszechniania informacji o pomocy otrzymanej z EFRROW zgodnie z przepisami załącznika III do rozporządzenia nr 808/2014 </w:t>
      </w:r>
      <w:r>
        <w:rPr>
          <w:rFonts w:ascii="Times New Roman" w:hAnsi="Times New Roman" w:cs="Times New Roman"/>
          <w:sz w:val="24"/>
          <w:szCs w:val="24"/>
        </w:rPr>
        <w:lastRenderedPageBreak/>
        <w:t>opis</w:t>
      </w:r>
      <w:r>
        <w:rPr>
          <w:rFonts w:ascii="Times New Roman" w:hAnsi="Times New Roman" w:cs="Times New Roman"/>
          <w:sz w:val="24"/>
          <w:szCs w:val="24"/>
        </w:rPr>
        <w:t xml:space="preserve">anymi szczegółowo w Księdze wizualizacji znaku Programu Rozwoju Obszarów Wiejskich na lata 2014–2020, opublikowanej na stronie internetowej Ministerstwa Rolnictwa i Rozwoju Wsi, to przede wszystkim w trakcie trwania operacji informuje opinię publiczną </w:t>
      </w:r>
      <w:r>
        <w:rPr>
          <w:rFonts w:ascii="Times New Roman" w:hAnsi="Times New Roman" w:cs="Times New Roman"/>
          <w:sz w:val="24"/>
          <w:szCs w:val="24"/>
        </w:rPr>
        <w:br/>
        <w:t>o p</w:t>
      </w:r>
      <w:r>
        <w:rPr>
          <w:rFonts w:ascii="Times New Roman" w:hAnsi="Times New Roman" w:cs="Times New Roman"/>
          <w:sz w:val="24"/>
          <w:szCs w:val="24"/>
        </w:rPr>
        <w:t xml:space="preserve">omocy otrzymanej z EFRROW poprzez zamieszczenie np. plakatu. Przy działaniach miękkich, takich jak szkolenia, konferencje czy warsztaty zależy poinformować o korzystaniu ze środków EFRROW w czasie trwania operacji (plakat, baner) oraz m.in. na prezentacji </w:t>
      </w:r>
      <w:r>
        <w:rPr>
          <w:rFonts w:ascii="Times New Roman" w:hAnsi="Times New Roman" w:cs="Times New Roman"/>
          <w:sz w:val="24"/>
          <w:szCs w:val="24"/>
        </w:rPr>
        <w:t>czy materiale szkoleniowym (zawierającym treści merytoryczne). Na materiałach konferencyjnych/szkoleniowych, takich jak np. notes lub długopis, wizualizacja nie jest konieczna, chyba że wynika to z założeń operacji, które wskazują, że mają to być materiały</w:t>
      </w:r>
      <w:r>
        <w:rPr>
          <w:rFonts w:ascii="Times New Roman" w:hAnsi="Times New Roman" w:cs="Times New Roman"/>
          <w:sz w:val="24"/>
          <w:szCs w:val="24"/>
        </w:rPr>
        <w:t xml:space="preserve"> promocyjne. Beneficjent/partner KSOW w takiej sytuacji może przekazać materiały piśmiennicze bez </w:t>
      </w:r>
      <w:proofErr w:type="spellStart"/>
      <w:r>
        <w:rPr>
          <w:rFonts w:ascii="Times New Roman" w:hAnsi="Times New Roman" w:cs="Times New Roman"/>
          <w:sz w:val="24"/>
          <w:szCs w:val="24"/>
        </w:rPr>
        <w:t>ologowania</w:t>
      </w:r>
      <w:proofErr w:type="spellEnd"/>
      <w:r>
        <w:rPr>
          <w:rFonts w:ascii="Times New Roman" w:hAnsi="Times New Roman" w:cs="Times New Roman"/>
          <w:sz w:val="24"/>
          <w:szCs w:val="24"/>
        </w:rPr>
        <w:t xml:space="preserve">, jednakże musi poinformować o wkładzie EFRROW </w:t>
      </w:r>
      <w:r>
        <w:rPr>
          <w:rFonts w:ascii="Times New Roman" w:hAnsi="Times New Roman" w:cs="Times New Roman"/>
          <w:sz w:val="24"/>
          <w:szCs w:val="24"/>
        </w:rPr>
        <w:br/>
        <w:t>w realizowaną operację w czasie jej trwania.</w:t>
      </w:r>
    </w:p>
    <w:p w:rsidR="003B68F1" w:rsidRDefault="003B68F1">
      <w:pPr>
        <w:spacing w:before="60" w:after="60"/>
        <w:jc w:val="both"/>
        <w:rPr>
          <w:rFonts w:ascii="Times New Roman" w:hAnsi="Times New Roman" w:cs="Times New Roman"/>
          <w:sz w:val="24"/>
          <w:szCs w:val="24"/>
        </w:rPr>
      </w:pPr>
    </w:p>
    <w:p w:rsidR="003B68F1" w:rsidRDefault="00511C98">
      <w:pPr>
        <w:pStyle w:val="Akapitzlist"/>
        <w:numPr>
          <w:ilvl w:val="0"/>
          <w:numId w:val="22"/>
        </w:num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shd w:val="clear" w:color="auto" w:fill="FFFFFF"/>
        </w:rPr>
        <w:t>Dokumentowanie uczestnictwa osób w spotkaniach wirtual</w:t>
      </w:r>
      <w:r>
        <w:rPr>
          <w:rFonts w:ascii="Times New Roman" w:eastAsia="Times New Roman" w:hAnsi="Times New Roman" w:cs="Times New Roman"/>
          <w:b/>
          <w:sz w:val="24"/>
          <w:szCs w:val="24"/>
          <w:shd w:val="clear" w:color="auto" w:fill="FFFFFF"/>
        </w:rPr>
        <w:t xml:space="preserve">nych celem rozliczenia operacji </w:t>
      </w:r>
    </w:p>
    <w:p w:rsidR="003B68F1" w:rsidRDefault="00511C98">
      <w:pPr>
        <w:spacing w:after="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shd w:val="clear" w:color="auto" w:fill="FFFFFF"/>
        </w:rPr>
        <w:t xml:space="preserve">W przypadku gdy Beneficjent ze względu na stan epidemii </w:t>
      </w:r>
      <w:proofErr w:type="spellStart"/>
      <w:r>
        <w:rPr>
          <w:rFonts w:ascii="Times New Roman" w:eastAsia="Times New Roman" w:hAnsi="Times New Roman" w:cs="Times New Roman"/>
          <w:sz w:val="24"/>
          <w:szCs w:val="24"/>
          <w:shd w:val="clear" w:color="auto" w:fill="FFFFFF"/>
        </w:rPr>
        <w:t>Coronawirusa</w:t>
      </w:r>
      <w:proofErr w:type="spellEnd"/>
      <w:r>
        <w:rPr>
          <w:rFonts w:ascii="Times New Roman" w:eastAsia="Times New Roman" w:hAnsi="Times New Roman" w:cs="Times New Roman"/>
          <w:sz w:val="24"/>
          <w:szCs w:val="24"/>
          <w:shd w:val="clear" w:color="auto" w:fill="FFFFFF"/>
        </w:rPr>
        <w:t xml:space="preserve"> zaplanował lub zmuszony jest zmienić formę realizacji operacji ze spotkań, konferencji w formie stacjonarnej na formę spotkań wirtualnych, a na późniejszy</w:t>
      </w:r>
      <w:r>
        <w:rPr>
          <w:rFonts w:ascii="Times New Roman" w:eastAsia="Times New Roman" w:hAnsi="Times New Roman" w:cs="Times New Roman"/>
          <w:sz w:val="24"/>
          <w:szCs w:val="24"/>
          <w:shd w:val="clear" w:color="auto" w:fill="FFFFFF"/>
        </w:rPr>
        <w:t>m etapie uzyskać rozliczenie przedmiotowych spotkań w Agencji Płatniczej, winien udokumentować operację w postaci oświadczenia, które winno zawierać listę osób  (np. imię i nazwisko, nazwa instytucji którą reprezentuje) biorących udział w spotkaniu, będzie</w:t>
      </w:r>
      <w:r>
        <w:rPr>
          <w:rFonts w:ascii="Times New Roman" w:eastAsia="Times New Roman" w:hAnsi="Times New Roman" w:cs="Times New Roman"/>
          <w:sz w:val="24"/>
          <w:szCs w:val="24"/>
          <w:shd w:val="clear" w:color="auto" w:fill="FFFFFF"/>
        </w:rPr>
        <w:t xml:space="preserve"> podpisane przez organizatora spotkania oraz  będzie zawierało slogany i logotypy jak na listach obecności zgodne Księgą wizualizacji znaku PROW 2014-2020. Jednakże przy sporządzaniu takiego oświadczenia należy pamiętać o  przepisach rozporządzenia Parlame</w:t>
      </w:r>
      <w:r>
        <w:rPr>
          <w:rFonts w:ascii="Times New Roman" w:eastAsia="Times New Roman" w:hAnsi="Times New Roman" w:cs="Times New Roman"/>
          <w:sz w:val="24"/>
          <w:szCs w:val="24"/>
          <w:shd w:val="clear" w:color="auto" w:fill="FFFFFF"/>
        </w:rPr>
        <w:t>ntu Europejskiego i Rady (UE) 2016/679 z dnia 27 kwietnia 2016 r. w sprawie ochrony osób fizycznych w związku z przetwarzaniem danych osobowych i w sprawie swobodnego przepływu takich danych oraz uchylenia dyrektywy 95/46/WE (ogólne rozporządzenie o ochron</w:t>
      </w:r>
      <w:r>
        <w:rPr>
          <w:rFonts w:ascii="Times New Roman" w:eastAsia="Times New Roman" w:hAnsi="Times New Roman" w:cs="Times New Roman"/>
          <w:sz w:val="24"/>
          <w:szCs w:val="24"/>
          <w:shd w:val="clear" w:color="auto" w:fill="FFFFFF"/>
        </w:rPr>
        <w:t>ie danych)- RODO.</w:t>
      </w:r>
      <w:r>
        <w:rPr>
          <w:rFonts w:ascii="Times New Roman" w:eastAsia="Times New Roman" w:hAnsi="Times New Roman" w:cs="Times New Roman"/>
          <w:color w:val="FF0000"/>
          <w:sz w:val="24"/>
          <w:szCs w:val="24"/>
          <w:shd w:val="clear" w:color="auto" w:fill="FFFFFF"/>
        </w:rPr>
        <w:t xml:space="preserve">  </w:t>
      </w:r>
    </w:p>
    <w:p w:rsidR="003B68F1" w:rsidRDefault="00511C98">
      <w:pPr>
        <w:pStyle w:val="Akapitzlist"/>
        <w:numPr>
          <w:ilvl w:val="0"/>
          <w:numId w:val="22"/>
        </w:numPr>
        <w:shd w:val="clear" w:color="auto" w:fill="FFFFFF"/>
        <w:spacing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Zapewnienie prawidłowego oznakowania działań informacyjno-promocyjnych realizowanych w mediach społecznościowych czy na kanałach filmowych w ramach operacji</w:t>
      </w:r>
      <w:r>
        <w:rPr>
          <w:rFonts w:ascii="Times New Roman" w:eastAsia="Times New Roman" w:hAnsi="Times New Roman" w:cs="Times New Roman"/>
          <w:sz w:val="24"/>
          <w:szCs w:val="24"/>
        </w:rPr>
        <w:t> </w:t>
      </w:r>
    </w:p>
    <w:p w:rsidR="003B68F1" w:rsidRDefault="00511C98">
      <w:pPr>
        <w:spacing w:beforeAutospacing="1"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Księgą wizualizacji znaku PROW 2014-2020, w przypadku prowadzenia </w:t>
      </w:r>
      <w:r>
        <w:rPr>
          <w:rFonts w:ascii="Times New Roman" w:eastAsia="Times New Roman" w:hAnsi="Times New Roman" w:cs="Times New Roman"/>
          <w:sz w:val="24"/>
          <w:szCs w:val="24"/>
        </w:rPr>
        <w:t>działań informacyjnych w internecie (filmy, programy, itd.), które zawierają informacje merytoryczne, każde takie działanie należy oznakować w formie np. tablicy/ kadru zamieszczonego na początku lub na końcu materiału lub w trakcie trwania materiału, z cz</w:t>
      </w:r>
      <w:r>
        <w:rPr>
          <w:rFonts w:ascii="Times New Roman" w:eastAsia="Times New Roman" w:hAnsi="Times New Roman" w:cs="Times New Roman"/>
          <w:sz w:val="24"/>
          <w:szCs w:val="24"/>
        </w:rPr>
        <w:t>asem emisji nie krótszym niż 3 sekundy. Obowiązkowe do zamieszczenia są następujące elementy:</w:t>
      </w:r>
    </w:p>
    <w:p w:rsidR="003B68F1" w:rsidRDefault="00511C98">
      <w:pPr>
        <w:pStyle w:val="Akapitzlist"/>
        <w:numPr>
          <w:ilvl w:val="0"/>
          <w:numId w:val="30"/>
        </w:numPr>
        <w:spacing w:beforeAutospacing="1"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znak (symbol) Unii Europejskiej,</w:t>
      </w:r>
    </w:p>
    <w:p w:rsidR="003B68F1" w:rsidRDefault="00511C98">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 PROW 2014-2020,</w:t>
      </w:r>
    </w:p>
    <w:p w:rsidR="003B68F1" w:rsidRDefault="00511C98">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slogan „Europejski Fundusz Rolny na rzecz Rozwoju Obszarów Wiejskich: Europa inwestująca w obszary wiejskie”</w:t>
      </w:r>
      <w:r>
        <w:rPr>
          <w:rFonts w:ascii="Times New Roman" w:eastAsia="Times New Roman" w:hAnsi="Times New Roman" w:cs="Times New Roman"/>
          <w:sz w:val="24"/>
          <w:szCs w:val="24"/>
        </w:rPr>
        <w:t>,</w:t>
      </w:r>
    </w:p>
    <w:p w:rsidR="003B68F1" w:rsidRDefault="00511C98">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odesłanie do instytucji odpowiedzialnej za treść materiału informacyjnego, np. w formie: Materiał opracowany przez…,</w:t>
      </w:r>
    </w:p>
    <w:p w:rsidR="003B68F1" w:rsidRDefault="00511C98">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odesłanie do Instytucji Zarządzającej PROW 2014-2020, w następującej formie: Instytucja Zarządzająca PROW 2014-2020 – Minister Rolnictwa </w:t>
      </w:r>
      <w:r>
        <w:rPr>
          <w:rFonts w:ascii="Times New Roman" w:eastAsia="Times New Roman" w:hAnsi="Times New Roman" w:cs="Times New Roman"/>
          <w:sz w:val="24"/>
          <w:szCs w:val="24"/>
        </w:rPr>
        <w:t>i Rozwoju Wsi,</w:t>
      </w:r>
    </w:p>
    <w:p w:rsidR="003B68F1" w:rsidRDefault="00511C98">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współfinansowaniu materiału ze środków UE w następującej formie: Materiał współfinansowany ze środków Unii Europejskiej w ramach ( np. schematu I, schematu II ) Pomocy Technicznej Programu Rozwoju Obszarów Wiejskich na lata 2014</w:t>
      </w:r>
      <w:r>
        <w:rPr>
          <w:rFonts w:ascii="Times New Roman" w:eastAsia="Times New Roman" w:hAnsi="Times New Roman" w:cs="Times New Roman"/>
          <w:sz w:val="24"/>
          <w:szCs w:val="24"/>
        </w:rPr>
        <w:t>-2020,</w:t>
      </w:r>
    </w:p>
    <w:p w:rsidR="003B68F1" w:rsidRDefault="00511C98">
      <w:pPr>
        <w:pStyle w:val="Akapitzlist"/>
        <w:numPr>
          <w:ilvl w:val="0"/>
          <w:numId w:val="30"/>
        </w:numPr>
        <w:spacing w:afterAutospacing="1"/>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oraz inne logo, którego zamieszczenie jest wymagane lub dopuszczalne (logo LEADER, logo KSOW, logo unijnego lub krajowego systemu jakości żywności, logo beneficjenta, lokalnej grupy działania, herb/logo województwa, gminy lub godło państwowe). W prz</w:t>
      </w:r>
      <w:r>
        <w:rPr>
          <w:rFonts w:ascii="Times New Roman" w:eastAsia="Times New Roman" w:hAnsi="Times New Roman" w:cs="Times New Roman"/>
          <w:sz w:val="24"/>
          <w:szCs w:val="24"/>
        </w:rPr>
        <w:t xml:space="preserve">ypadku umieszczania herbu województwa, gminy lub godła państwowego należy obok symbolu UE zamieścić wskazanie na udział Unii poprzez tekst: Unia Europejska. Tekst Unia Europejska można zamieścić poniżej lub po prawej stronie symbolu UE. </w:t>
      </w:r>
    </w:p>
    <w:p w:rsidR="003B68F1" w:rsidRDefault="00511C98">
      <w:pPr>
        <w:spacing w:beforeAutospacing="1"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Natomiast działani</w:t>
      </w:r>
      <w:r>
        <w:rPr>
          <w:rFonts w:ascii="Times New Roman" w:eastAsia="Times New Roman" w:hAnsi="Times New Roman" w:cs="Times New Roman"/>
          <w:sz w:val="24"/>
          <w:szCs w:val="24"/>
        </w:rPr>
        <w:t xml:space="preserve">a promocyjne realizowane w mediach, m.in. w internecie, niezawierające treści merytorycznych, należy oznakować następująco: </w:t>
      </w:r>
    </w:p>
    <w:p w:rsidR="003B68F1" w:rsidRDefault="00511C98">
      <w:pPr>
        <w:pStyle w:val="Akapitzlist"/>
        <w:numPr>
          <w:ilvl w:val="0"/>
          <w:numId w:val="31"/>
        </w:numPr>
        <w:spacing w:beforeAutospacing="1"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znak Unii Europejskiej,</w:t>
      </w:r>
    </w:p>
    <w:p w:rsidR="003B68F1" w:rsidRDefault="00511C98">
      <w:pPr>
        <w:pStyle w:val="Akapitzlist"/>
        <w:numPr>
          <w:ilvl w:val="0"/>
          <w:numId w:val="31"/>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 PROW 2014-2020,</w:t>
      </w:r>
    </w:p>
    <w:p w:rsidR="003B68F1" w:rsidRDefault="00511C98">
      <w:pPr>
        <w:pStyle w:val="Akapitzlist"/>
        <w:numPr>
          <w:ilvl w:val="0"/>
          <w:numId w:val="31"/>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slogan „Europejski Fundusz Rolny na rzecz Rozwoju Obszarów Wiejskich: Europa </w:t>
      </w:r>
      <w:r>
        <w:rPr>
          <w:rFonts w:ascii="Times New Roman" w:eastAsia="Times New Roman" w:hAnsi="Times New Roman" w:cs="Times New Roman"/>
          <w:sz w:val="24"/>
          <w:szCs w:val="24"/>
        </w:rPr>
        <w:t>inwestująca w obszary wiejskie”,</w:t>
      </w:r>
    </w:p>
    <w:p w:rsidR="003B68F1" w:rsidRDefault="00511C98">
      <w:pPr>
        <w:pStyle w:val="Akapitzlist"/>
        <w:numPr>
          <w:ilvl w:val="0"/>
          <w:numId w:val="31"/>
        </w:numPr>
        <w:spacing w:afterAutospacing="1"/>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oraz inne logo, którego zamieszczenie jest wymagane lub dopuszczalne (logo LEADER, logo KSOW, logo unijnego lub krajowego systemu jakości żywności, logo beneficjenta, lokalnej grupy działania, herb/logo województwa, gminy. </w:t>
      </w:r>
      <w:r>
        <w:rPr>
          <w:rFonts w:ascii="Times New Roman" w:eastAsia="Times New Roman" w:hAnsi="Times New Roman" w:cs="Times New Roman"/>
          <w:sz w:val="24"/>
          <w:szCs w:val="24"/>
        </w:rPr>
        <w:t>lub godło państwowe). W przypadku umieszczania herbu województwa, gminy lub godła państwowego należy obok symbolu UE zamieścić wskazanie na udział Unii poprzez tekst: Unia Europejska. Tekst Unia Europejska można zamieścić poniżej lub po prawej stronie symb</w:t>
      </w:r>
      <w:r>
        <w:rPr>
          <w:rFonts w:ascii="Times New Roman" w:eastAsia="Times New Roman" w:hAnsi="Times New Roman" w:cs="Times New Roman"/>
          <w:sz w:val="24"/>
          <w:szCs w:val="24"/>
        </w:rPr>
        <w:t>olu UE.</w:t>
      </w:r>
    </w:p>
    <w:p w:rsidR="003B68F1" w:rsidRDefault="00511C98">
      <w:pPr>
        <w:spacing w:beforeAutospacing="1"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Ponieważ narzędzia marketingowe w formie mediów społecznościowych czy kanałów filmowych mają określone wymagania oraz ograniczenia techniczne np. co do ilości znaków, układu treści na stronach, możliwości dodawania elementów, a w Księdze wizualizac</w:t>
      </w:r>
      <w:r>
        <w:rPr>
          <w:rFonts w:ascii="Times New Roman" w:eastAsia="Times New Roman" w:hAnsi="Times New Roman" w:cs="Times New Roman"/>
          <w:sz w:val="24"/>
          <w:szCs w:val="24"/>
        </w:rPr>
        <w:t>ji znaku PROW 2014-2020 zasady stosowania znaków i sloganów nie obejmują przykładów ich stosowania w mediach społecznościowych, proponuje się przyjęcie następujących założeń:</w:t>
      </w:r>
    </w:p>
    <w:p w:rsidR="003B68F1" w:rsidRDefault="00511C98">
      <w:pPr>
        <w:pStyle w:val="Akapitzlist"/>
        <w:numPr>
          <w:ilvl w:val="1"/>
          <w:numId w:val="22"/>
        </w:numPr>
        <w:spacing w:beforeAutospacing="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fanpage na Facebooku dedykowany  danej operacji  powinien zawierać stałą i niezmi</w:t>
      </w:r>
      <w:r>
        <w:rPr>
          <w:rFonts w:ascii="Times New Roman" w:eastAsia="Times New Roman" w:hAnsi="Times New Roman" w:cs="Times New Roman"/>
          <w:sz w:val="24"/>
          <w:szCs w:val="24"/>
        </w:rPr>
        <w:t xml:space="preserve">enną informację o współfinansowaniu w widocznym miejscu, np. jako plansza zawierająca logotypy i slogany. Wówczas nie ma konieczności każdorazowego </w:t>
      </w:r>
      <w:proofErr w:type="spellStart"/>
      <w:r>
        <w:rPr>
          <w:rFonts w:ascii="Times New Roman" w:eastAsia="Times New Roman" w:hAnsi="Times New Roman" w:cs="Times New Roman"/>
          <w:sz w:val="24"/>
          <w:szCs w:val="24"/>
        </w:rPr>
        <w:t>ologowywania</w:t>
      </w:r>
      <w:proofErr w:type="spellEnd"/>
      <w:r>
        <w:rPr>
          <w:rFonts w:ascii="Times New Roman" w:eastAsia="Times New Roman" w:hAnsi="Times New Roman" w:cs="Times New Roman"/>
          <w:sz w:val="24"/>
          <w:szCs w:val="24"/>
        </w:rPr>
        <w:t xml:space="preserve"> postów, zdjęć czy filmików zamieszczanych na tym </w:t>
      </w:r>
      <w:proofErr w:type="spellStart"/>
      <w:r>
        <w:rPr>
          <w:rFonts w:ascii="Times New Roman" w:eastAsia="Times New Roman" w:hAnsi="Times New Roman" w:cs="Times New Roman"/>
          <w:sz w:val="24"/>
          <w:szCs w:val="24"/>
        </w:rPr>
        <w:t>fanpage’u</w:t>
      </w:r>
      <w:proofErr w:type="spellEnd"/>
      <w:r>
        <w:rPr>
          <w:rFonts w:ascii="Times New Roman" w:eastAsia="Times New Roman" w:hAnsi="Times New Roman" w:cs="Times New Roman"/>
          <w:sz w:val="24"/>
          <w:szCs w:val="24"/>
        </w:rPr>
        <w:t xml:space="preserve">. Przez </w:t>
      </w:r>
      <w:r>
        <w:rPr>
          <w:rFonts w:ascii="Times New Roman" w:eastAsia="Times New Roman" w:hAnsi="Times New Roman" w:cs="Times New Roman"/>
          <w:sz w:val="24"/>
          <w:szCs w:val="24"/>
        </w:rPr>
        <w:lastRenderedPageBreak/>
        <w:t xml:space="preserve">analogię należy </w:t>
      </w:r>
      <w:proofErr w:type="spellStart"/>
      <w:r>
        <w:rPr>
          <w:rFonts w:ascii="Times New Roman" w:eastAsia="Times New Roman" w:hAnsi="Times New Roman" w:cs="Times New Roman"/>
          <w:sz w:val="24"/>
          <w:szCs w:val="24"/>
        </w:rPr>
        <w:t>ologowywać</w:t>
      </w:r>
      <w:proofErr w:type="spellEnd"/>
      <w:r>
        <w:rPr>
          <w:rFonts w:ascii="Times New Roman" w:eastAsia="Times New Roman" w:hAnsi="Times New Roman" w:cs="Times New Roman"/>
          <w:sz w:val="24"/>
          <w:szCs w:val="24"/>
        </w:rPr>
        <w:t xml:space="preserve"> ko</w:t>
      </w:r>
      <w:r>
        <w:rPr>
          <w:rFonts w:ascii="Times New Roman" w:eastAsia="Times New Roman" w:hAnsi="Times New Roman" w:cs="Times New Roman"/>
          <w:sz w:val="24"/>
          <w:szCs w:val="24"/>
        </w:rPr>
        <w:t>nta dedykowane wyłącznie tej operacji w innych mediach społecznościowych.</w:t>
      </w:r>
    </w:p>
    <w:p w:rsidR="003B68F1" w:rsidRDefault="00511C98">
      <w:pPr>
        <w:pStyle w:val="Akapitzlist"/>
        <w:numPr>
          <w:ilvl w:val="1"/>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informacje dotyczące projektu pojawią się na innych kontach Facebooka lub innych kontach mediów społecznościowych, które nie są dedykowane wyłącznie tej </w:t>
      </w:r>
      <w:proofErr w:type="spellStart"/>
      <w:r>
        <w:rPr>
          <w:rFonts w:ascii="Times New Roman" w:eastAsia="Times New Roman" w:hAnsi="Times New Roman" w:cs="Times New Roman"/>
          <w:sz w:val="24"/>
          <w:szCs w:val="24"/>
        </w:rPr>
        <w:t>operacii</w:t>
      </w:r>
      <w:proofErr w:type="spellEnd"/>
      <w:r>
        <w:rPr>
          <w:rFonts w:ascii="Times New Roman" w:eastAsia="Times New Roman" w:hAnsi="Times New Roman" w:cs="Times New Roman"/>
          <w:sz w:val="24"/>
          <w:szCs w:val="24"/>
        </w:rPr>
        <w:t>, informację o</w:t>
      </w:r>
      <w:r>
        <w:rPr>
          <w:rFonts w:ascii="Times New Roman" w:eastAsia="Times New Roman" w:hAnsi="Times New Roman" w:cs="Times New Roman"/>
          <w:sz w:val="24"/>
          <w:szCs w:val="24"/>
        </w:rPr>
        <w:t xml:space="preserve"> współfinansowaniu operacji  należy zamieszczać przy każdym poście dot. operacji (w zakresie uzależnionym od tego, czy jest to materiał zawierający treści merytoryczne, czy też nie) lub pod każdym zamieszczonym zdjęciem powinien znaleźć się opis dotyczący </w:t>
      </w:r>
      <w:r>
        <w:rPr>
          <w:rFonts w:ascii="Times New Roman" w:eastAsia="Times New Roman" w:hAnsi="Times New Roman" w:cs="Times New Roman"/>
          <w:sz w:val="24"/>
          <w:szCs w:val="24"/>
        </w:rPr>
        <w:t>w ramach jakiego projektu jest realizowany oraz odsyłacz do strony projektu, gdzie będą znajdowały się wszystkie niezbędne informacje dotyczące współfinansowania ze środków UE.</w:t>
      </w:r>
    </w:p>
    <w:p w:rsidR="003B68F1" w:rsidRDefault="00511C98">
      <w:pPr>
        <w:pStyle w:val="Akapitzlist"/>
        <w:numPr>
          <w:ilvl w:val="1"/>
          <w:numId w:val="22"/>
        </w:numPr>
        <w:spacing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YouTube – z uwagi na ograniczenia dot. możliwości zamieszczenia grafiki (logoty</w:t>
      </w:r>
      <w:r>
        <w:rPr>
          <w:rFonts w:ascii="Times New Roman" w:eastAsia="Times New Roman" w:hAnsi="Times New Roman" w:cs="Times New Roman"/>
          <w:sz w:val="24"/>
          <w:szCs w:val="24"/>
        </w:rPr>
        <w:t xml:space="preserve">pów) w opisie pod filmem oraz brak możliwości zamieszczenia logo na początku ze względu na </w:t>
      </w:r>
      <w:proofErr w:type="spellStart"/>
      <w:r>
        <w:rPr>
          <w:rFonts w:ascii="Times New Roman" w:eastAsia="Times New Roman" w:hAnsi="Times New Roman" w:cs="Times New Roman"/>
          <w:sz w:val="24"/>
          <w:szCs w:val="24"/>
        </w:rPr>
        <w:t>vlogowy</w:t>
      </w:r>
      <w:proofErr w:type="spellEnd"/>
      <w:r>
        <w:rPr>
          <w:rFonts w:ascii="Times New Roman" w:eastAsia="Times New Roman" w:hAnsi="Times New Roman" w:cs="Times New Roman"/>
          <w:sz w:val="24"/>
          <w:szCs w:val="24"/>
        </w:rPr>
        <w:t xml:space="preserve"> charakter publikowanych filmów na YouTube, proponuje się:</w:t>
      </w:r>
    </w:p>
    <w:p w:rsidR="003B68F1" w:rsidRDefault="00511C98">
      <w:pPr>
        <w:pStyle w:val="Akapitzlist"/>
        <w:numPr>
          <w:ilvl w:val="0"/>
          <w:numId w:val="29"/>
        </w:numPr>
        <w:spacing w:beforeAutospacing="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zamieszczenie </w:t>
      </w:r>
      <w:proofErr w:type="spellStart"/>
      <w:r>
        <w:rPr>
          <w:rFonts w:ascii="Times New Roman" w:eastAsia="Times New Roman" w:hAnsi="Times New Roman" w:cs="Times New Roman"/>
          <w:sz w:val="24"/>
          <w:szCs w:val="24"/>
        </w:rPr>
        <w:t>ologowania</w:t>
      </w:r>
      <w:proofErr w:type="spellEnd"/>
      <w:r>
        <w:rPr>
          <w:rFonts w:ascii="Times New Roman" w:eastAsia="Times New Roman" w:hAnsi="Times New Roman" w:cs="Times New Roman"/>
          <w:sz w:val="24"/>
          <w:szCs w:val="24"/>
        </w:rPr>
        <w:t xml:space="preserve">  na końcu filmu (początku lub w środku) zgodnie z Księgą wizualizacji znak</w:t>
      </w:r>
      <w:r>
        <w:rPr>
          <w:rFonts w:ascii="Times New Roman" w:eastAsia="Times New Roman" w:hAnsi="Times New Roman" w:cs="Times New Roman"/>
          <w:sz w:val="24"/>
          <w:szCs w:val="24"/>
        </w:rPr>
        <w:t>u PROW 2014-2020 (jeśli nagranie filmu zostało sfinansowane w ramach projektu), lub</w:t>
      </w:r>
    </w:p>
    <w:p w:rsidR="003B68F1" w:rsidRDefault="00511C98">
      <w:pPr>
        <w:pStyle w:val="Akapitzlist"/>
        <w:numPr>
          <w:ilvl w:val="0"/>
          <w:numId w:val="29"/>
        </w:numPr>
        <w:spacing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zamieszczenie w opisie filmu sloganów oraz linków do stron zawierających pełne ologowanie informacji o projekcie: np. strony operacji, strony KSOW, strony beneficjenta (jeś</w:t>
      </w:r>
      <w:r>
        <w:rPr>
          <w:rFonts w:ascii="Times New Roman" w:eastAsia="Times New Roman" w:hAnsi="Times New Roman" w:cs="Times New Roman"/>
          <w:sz w:val="24"/>
          <w:szCs w:val="24"/>
        </w:rPr>
        <w:t>li produkcja filmu nie była sfinansowana w ramach danej operacji a film pochodzi z innego źródła i jest wykorzystywany w ramach PROW 2014-2020 jako wzmocnienie przekazu kampanii).</w:t>
      </w:r>
    </w:p>
    <w:p w:rsidR="003B68F1" w:rsidRDefault="00511C98">
      <w:pPr>
        <w:spacing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 xml:space="preserve">11. </w:t>
      </w:r>
      <w:r>
        <w:rPr>
          <w:rFonts w:ascii="Times New Roman" w:hAnsi="Times New Roman" w:cs="Times New Roman"/>
          <w:b/>
          <w:sz w:val="24"/>
          <w:szCs w:val="24"/>
          <w:shd w:val="clear" w:color="auto" w:fill="FFFFFF"/>
        </w:rPr>
        <w:t xml:space="preserve"> Środków ochrony osobistej </w:t>
      </w:r>
      <w:r>
        <w:rPr>
          <w:rFonts w:ascii="Times New Roman" w:eastAsia="Times New Roman" w:hAnsi="Times New Roman" w:cs="Times New Roman"/>
          <w:b/>
          <w:sz w:val="24"/>
          <w:szCs w:val="24"/>
        </w:rPr>
        <w:t>(</w:t>
      </w:r>
      <w:r>
        <w:rPr>
          <w:rFonts w:ascii="Times New Roman" w:hAnsi="Times New Roman" w:cs="Times New Roman"/>
          <w:b/>
          <w:sz w:val="24"/>
          <w:szCs w:val="24"/>
        </w:rPr>
        <w:t>środków do dezynfekcji, rękawice jednorazow</w:t>
      </w:r>
      <w:r>
        <w:rPr>
          <w:rFonts w:ascii="Times New Roman" w:hAnsi="Times New Roman" w:cs="Times New Roman"/>
          <w:b/>
          <w:sz w:val="24"/>
          <w:szCs w:val="24"/>
        </w:rPr>
        <w:t xml:space="preserve">e, maseczki/przyłbice, itp.) </w:t>
      </w:r>
    </w:p>
    <w:p w:rsidR="003B68F1" w:rsidRDefault="00511C98">
      <w:pPr>
        <w:jc w:val="both"/>
        <w:rPr>
          <w:rFonts w:ascii="Times New Roman" w:hAnsi="Times New Roman" w:cs="Times New Roman"/>
          <w:sz w:val="24"/>
          <w:szCs w:val="24"/>
        </w:rPr>
      </w:pPr>
      <w:r>
        <w:rPr>
          <w:rFonts w:ascii="Times New Roman" w:hAnsi="Times New Roman" w:cs="Times New Roman"/>
          <w:sz w:val="24"/>
          <w:szCs w:val="24"/>
        </w:rPr>
        <w:t>Do kategorii związanej z zapewnieniem warunków pracy pracownikowi podmiotu uprawnionego niezbędnych do wykonywania zadań kwalifikowalnych, można zaliczyć również koszty związane z zakupem środków ochrony osobistej (m.in. rękaw</w:t>
      </w:r>
      <w:r>
        <w:rPr>
          <w:rFonts w:ascii="Times New Roman" w:hAnsi="Times New Roman" w:cs="Times New Roman"/>
          <w:sz w:val="24"/>
          <w:szCs w:val="24"/>
        </w:rPr>
        <w:t xml:space="preserve">iczek jednorazowych, maseczek, przyłbic, preparatów do dezynfekcji), które w obecnej sytuacji są niezbędne do bezpiecznego wykonywania pracy. </w:t>
      </w:r>
    </w:p>
    <w:p w:rsidR="003B68F1" w:rsidRDefault="00511C9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Pracownicze Plany Kapitałowe (PPK)</w:t>
      </w:r>
    </w:p>
    <w:p w:rsidR="003B68F1" w:rsidRDefault="00511C98">
      <w:pPr>
        <w:spacing w:after="0"/>
        <w:jc w:val="both"/>
        <w:rPr>
          <w:rFonts w:ascii="Times New Roman" w:hAnsi="Times New Roman" w:cs="Times New Roman"/>
          <w:color w:val="FF0000"/>
          <w:sz w:val="24"/>
          <w:szCs w:val="24"/>
        </w:rPr>
      </w:pPr>
      <w:r>
        <w:rPr>
          <w:rFonts w:ascii="Times New Roman" w:hAnsi="Times New Roman" w:cs="Times New Roman"/>
          <w:sz w:val="24"/>
          <w:szCs w:val="24"/>
        </w:rPr>
        <w:t>Koszty pracowniczych planów kapitałowych (PPK) poniesione na podstawie art. 26 ust. 1 (wpłata podstawowa), jak i 26 ust. 2 (wpłata dodatkowa ) ustawy z dnia 4 października 2018 r. o pracowniczych planach kapitałowych (Dz. U. z 2018 r. poz. 2215), mogą stan</w:t>
      </w:r>
      <w:r>
        <w:rPr>
          <w:rFonts w:ascii="Times New Roman" w:hAnsi="Times New Roman" w:cs="Times New Roman"/>
          <w:sz w:val="24"/>
          <w:szCs w:val="24"/>
        </w:rPr>
        <w:t xml:space="preserve">owić wydatek kwalifikowalny w ramach Pomocy Technicznej PROW 2014-2020. </w:t>
      </w:r>
    </w:p>
    <w:sectPr w:rsidR="003B68F1">
      <w:footerReference w:type="default" r:id="rId13"/>
      <w:pgSz w:w="11906" w:h="16838"/>
      <w:pgMar w:top="1417" w:right="1417" w:bottom="1417" w:left="1560" w:header="0"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98" w:rsidRDefault="00511C98">
      <w:pPr>
        <w:spacing w:after="0" w:line="240" w:lineRule="auto"/>
      </w:pPr>
      <w:r>
        <w:separator/>
      </w:r>
    </w:p>
  </w:endnote>
  <w:endnote w:type="continuationSeparator" w:id="0">
    <w:p w:rsidR="00511C98" w:rsidRDefault="0051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00"/>
    <w:family w:val="roman"/>
    <w:notTrueType/>
    <w:pitch w:val="variable"/>
    <w:sig w:usb0="00000003" w:usb1="00000000" w:usb2="00000000" w:usb3="00000000" w:csb0="00000001" w:csb1="00000000"/>
  </w:font>
  <w:font w:name="EUAlbertina">
    <w:charset w:val="EE"/>
    <w:family w:val="roman"/>
    <w:pitch w:val="variable"/>
  </w:font>
  <w:font w:name="TimesNewRomanPSMT">
    <w:altName w:val="Times New Roman"/>
    <w:charset w:val="EE"/>
    <w:family w:val="roman"/>
    <w:pitch w:val="variable"/>
  </w:font>
  <w:font w:name="CambriaMath">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728030"/>
      <w:docPartObj>
        <w:docPartGallery w:val="Page Numbers (Bottom of Page)"/>
        <w:docPartUnique/>
      </w:docPartObj>
    </w:sdtPr>
    <w:sdtEndPr/>
    <w:sdtContent>
      <w:p w:rsidR="003B68F1" w:rsidRDefault="00511C98">
        <w:pPr>
          <w:pStyle w:val="Stopka"/>
          <w:jc w:val="right"/>
        </w:pPr>
        <w:r>
          <w:fldChar w:fldCharType="begin"/>
        </w:r>
        <w:r>
          <w:instrText>PAGE</w:instrText>
        </w:r>
        <w:r>
          <w:fldChar w:fldCharType="separate"/>
        </w:r>
        <w:r w:rsidR="00E76E50">
          <w:rPr>
            <w:noProof/>
          </w:rPr>
          <w:t>2</w:t>
        </w:r>
        <w:r>
          <w:fldChar w:fldCharType="end"/>
        </w:r>
      </w:p>
    </w:sdtContent>
  </w:sdt>
  <w:p w:rsidR="003B68F1" w:rsidRDefault="003B68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98" w:rsidRDefault="00511C98">
      <w:pPr>
        <w:spacing w:after="0" w:line="240" w:lineRule="auto"/>
      </w:pPr>
      <w:r>
        <w:separator/>
      </w:r>
    </w:p>
  </w:footnote>
  <w:footnote w:type="continuationSeparator" w:id="0">
    <w:p w:rsidR="00511C98" w:rsidRDefault="00511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668"/>
    <w:multiLevelType w:val="multilevel"/>
    <w:tmpl w:val="1E7CD22A"/>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5D615BF"/>
    <w:multiLevelType w:val="multilevel"/>
    <w:tmpl w:val="CFAA4C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DB231F"/>
    <w:multiLevelType w:val="multilevel"/>
    <w:tmpl w:val="424CE2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E2D0C47"/>
    <w:multiLevelType w:val="multilevel"/>
    <w:tmpl w:val="406CE5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E5507CB"/>
    <w:multiLevelType w:val="multilevel"/>
    <w:tmpl w:val="49A6CA5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17AF4E93"/>
    <w:multiLevelType w:val="multilevel"/>
    <w:tmpl w:val="345E4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6F40CA"/>
    <w:multiLevelType w:val="multilevel"/>
    <w:tmpl w:val="99E2D86E"/>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2AAB1160"/>
    <w:multiLevelType w:val="multilevel"/>
    <w:tmpl w:val="A7B6946C"/>
    <w:lvl w:ilvl="0">
      <w:start w:val="1"/>
      <w:numFmt w:val="bullet"/>
      <w:lvlText w:val=""/>
      <w:lvlJc w:val="left"/>
      <w:pPr>
        <w:ind w:left="1068" w:hanging="360"/>
      </w:pPr>
      <w:rPr>
        <w:rFonts w:ascii="Symbol" w:hAnsi="Symbol" w:cs="Symbol" w:hint="default"/>
        <w:b w:val="0"/>
        <w:color w:val="auto"/>
        <w:sz w:val="22"/>
        <w:szCs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2C5F7492"/>
    <w:multiLevelType w:val="multilevel"/>
    <w:tmpl w:val="B02E658E"/>
    <w:lvl w:ilvl="0">
      <w:start w:val="1"/>
      <w:numFmt w:val="decimal"/>
      <w:lvlText w:val="%1."/>
      <w:lvlJc w:val="left"/>
      <w:pPr>
        <w:ind w:left="7515"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nsid w:val="2F4642AE"/>
    <w:multiLevelType w:val="multilevel"/>
    <w:tmpl w:val="AA6456A0"/>
    <w:lvl w:ilvl="0">
      <w:start w:val="1"/>
      <w:numFmt w:val="decimal"/>
      <w:lvlText w:val="%1."/>
      <w:lvlJc w:val="left"/>
      <w:pPr>
        <w:ind w:left="501" w:hanging="360"/>
      </w:pPr>
      <w:rPr>
        <w:rFonts w:cs="Times New Roman"/>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8910A6"/>
    <w:multiLevelType w:val="multilevel"/>
    <w:tmpl w:val="DDC8FDF4"/>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33810CE6"/>
    <w:multiLevelType w:val="multilevel"/>
    <w:tmpl w:val="FD9AAE5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5A11C05"/>
    <w:multiLevelType w:val="multilevel"/>
    <w:tmpl w:val="4330EDA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E3186D"/>
    <w:multiLevelType w:val="multilevel"/>
    <w:tmpl w:val="6BE6B34E"/>
    <w:lvl w:ilvl="0">
      <w:start w:val="1"/>
      <w:numFmt w:val="lowerLetter"/>
      <w:lvlText w:val="%1)"/>
      <w:lvlJc w:val="left"/>
      <w:pPr>
        <w:ind w:left="1068" w:hanging="360"/>
      </w:pPr>
      <w:rPr>
        <w:b w:val="0"/>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4">
    <w:nsid w:val="39C4521B"/>
    <w:multiLevelType w:val="multilevel"/>
    <w:tmpl w:val="29004F32"/>
    <w:lvl w:ilvl="0">
      <w:start w:val="1"/>
      <w:numFmt w:val="decimal"/>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3AEB0BCE"/>
    <w:multiLevelType w:val="multilevel"/>
    <w:tmpl w:val="0E0431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253957"/>
    <w:multiLevelType w:val="multilevel"/>
    <w:tmpl w:val="0952DEB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40AE0D9E"/>
    <w:multiLevelType w:val="multilevel"/>
    <w:tmpl w:val="43B27A44"/>
    <w:lvl w:ilvl="0">
      <w:start w:val="1"/>
      <w:numFmt w:val="decimal"/>
      <w:lvlText w:val="%1."/>
      <w:lvlJc w:val="left"/>
      <w:pPr>
        <w:ind w:left="862" w:hanging="360"/>
      </w:pPr>
      <w:rPr>
        <w:rFonts w:cs="Times New Roman"/>
        <w:b/>
        <w:color w:val="auto"/>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nsid w:val="469F75DA"/>
    <w:multiLevelType w:val="multilevel"/>
    <w:tmpl w:val="F4C26DA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490A58A5"/>
    <w:multiLevelType w:val="multilevel"/>
    <w:tmpl w:val="D0F00CEA"/>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0">
    <w:nsid w:val="55056FEC"/>
    <w:multiLevelType w:val="multilevel"/>
    <w:tmpl w:val="FB58121A"/>
    <w:lvl w:ilvl="0">
      <w:start w:val="12"/>
      <w:numFmt w:val="decimal"/>
      <w:lvlText w:val="%1"/>
      <w:lvlJc w:val="left"/>
      <w:pPr>
        <w:ind w:left="3900" w:hanging="360"/>
      </w:pPr>
    </w:lvl>
    <w:lvl w:ilvl="1">
      <w:start w:val="1"/>
      <w:numFmt w:val="lowerLetter"/>
      <w:lvlText w:val="%2."/>
      <w:lvlJc w:val="left"/>
      <w:pPr>
        <w:ind w:left="4620" w:hanging="360"/>
      </w:pPr>
    </w:lvl>
    <w:lvl w:ilvl="2">
      <w:start w:val="1"/>
      <w:numFmt w:val="lowerRoman"/>
      <w:lvlText w:val="%3."/>
      <w:lvlJc w:val="right"/>
      <w:pPr>
        <w:ind w:left="5340" w:hanging="180"/>
      </w:pPr>
    </w:lvl>
    <w:lvl w:ilvl="3">
      <w:start w:val="1"/>
      <w:numFmt w:val="decimal"/>
      <w:lvlText w:val="%4."/>
      <w:lvlJc w:val="left"/>
      <w:pPr>
        <w:ind w:left="6060" w:hanging="360"/>
      </w:pPr>
    </w:lvl>
    <w:lvl w:ilvl="4">
      <w:start w:val="1"/>
      <w:numFmt w:val="lowerLetter"/>
      <w:lvlText w:val="%5."/>
      <w:lvlJc w:val="left"/>
      <w:pPr>
        <w:ind w:left="6780" w:hanging="360"/>
      </w:pPr>
    </w:lvl>
    <w:lvl w:ilvl="5">
      <w:start w:val="1"/>
      <w:numFmt w:val="lowerRoman"/>
      <w:lvlText w:val="%6."/>
      <w:lvlJc w:val="right"/>
      <w:pPr>
        <w:ind w:left="7500" w:hanging="180"/>
      </w:pPr>
    </w:lvl>
    <w:lvl w:ilvl="6">
      <w:start w:val="1"/>
      <w:numFmt w:val="decimal"/>
      <w:lvlText w:val="%7."/>
      <w:lvlJc w:val="left"/>
      <w:pPr>
        <w:ind w:left="8220" w:hanging="360"/>
      </w:pPr>
    </w:lvl>
    <w:lvl w:ilvl="7">
      <w:start w:val="1"/>
      <w:numFmt w:val="lowerLetter"/>
      <w:lvlText w:val="%8."/>
      <w:lvlJc w:val="left"/>
      <w:pPr>
        <w:ind w:left="8940" w:hanging="360"/>
      </w:pPr>
    </w:lvl>
    <w:lvl w:ilvl="8">
      <w:start w:val="1"/>
      <w:numFmt w:val="lowerRoman"/>
      <w:lvlText w:val="%9."/>
      <w:lvlJc w:val="right"/>
      <w:pPr>
        <w:ind w:left="9660" w:hanging="180"/>
      </w:pPr>
    </w:lvl>
  </w:abstractNum>
  <w:abstractNum w:abstractNumId="21">
    <w:nsid w:val="57285E45"/>
    <w:multiLevelType w:val="multilevel"/>
    <w:tmpl w:val="8A06A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9A5104"/>
    <w:multiLevelType w:val="multilevel"/>
    <w:tmpl w:val="8EFC027E"/>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928"/>
        </w:tabs>
        <w:ind w:left="9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3C1D78"/>
    <w:multiLevelType w:val="multilevel"/>
    <w:tmpl w:val="623857C6"/>
    <w:lvl w:ilvl="0">
      <w:start w:val="1"/>
      <w:numFmt w:val="bullet"/>
      <w:lvlText w:val=""/>
      <w:lvlJc w:val="left"/>
      <w:pPr>
        <w:ind w:left="1480" w:hanging="360"/>
      </w:pPr>
      <w:rPr>
        <w:rFonts w:ascii="Symbol" w:hAnsi="Symbol" w:cs="Symbol"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24">
    <w:nsid w:val="61AF4802"/>
    <w:multiLevelType w:val="multilevel"/>
    <w:tmpl w:val="9508EC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5900CAD"/>
    <w:multiLevelType w:val="multilevel"/>
    <w:tmpl w:val="E9EEDE18"/>
    <w:lvl w:ilvl="0">
      <w:start w:val="1"/>
      <w:numFmt w:val="bullet"/>
      <w:lvlText w:val=""/>
      <w:lvlJc w:val="left"/>
      <w:pPr>
        <w:tabs>
          <w:tab w:val="num" w:pos="1066"/>
        </w:tabs>
        <w:ind w:left="1066" w:firstLine="2"/>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C2F2228"/>
    <w:multiLevelType w:val="multilevel"/>
    <w:tmpl w:val="20B6503C"/>
    <w:lvl w:ilvl="0">
      <w:start w:val="1"/>
      <w:numFmt w:val="bullet"/>
      <w:lvlText w:val=""/>
      <w:lvlJc w:val="left"/>
      <w:pPr>
        <w:ind w:left="1428" w:hanging="360"/>
      </w:pPr>
      <w:rPr>
        <w:rFonts w:ascii="Symbol" w:hAnsi="Symbol" w:cs="Symbol" w:hint="default"/>
        <w:b w:val="0"/>
        <w:color w:val="auto"/>
        <w:sz w:val="22"/>
        <w:szCs w:val="22"/>
      </w:rPr>
    </w:lvl>
    <w:lvl w:ilvl="1">
      <w:start w:val="12"/>
      <w:numFmt w:val="decimal"/>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nsid w:val="6CA702AD"/>
    <w:multiLevelType w:val="multilevel"/>
    <w:tmpl w:val="C9F67028"/>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nsid w:val="6D8B3FD1"/>
    <w:multiLevelType w:val="multilevel"/>
    <w:tmpl w:val="DF58EBD6"/>
    <w:lvl w:ilvl="0">
      <w:start w:val="1"/>
      <w:numFmt w:val="lowerLetter"/>
      <w:lvlText w:val="%1)"/>
      <w:lvlJc w:val="left"/>
      <w:pPr>
        <w:ind w:left="720" w:hanging="360"/>
      </w:pPr>
    </w:lvl>
    <w:lvl w:ilvl="1">
      <w:start w:val="1"/>
      <w:numFmt w:val="lowerLetter"/>
      <w:lvlText w:val="%2)"/>
      <w:lvlJc w:val="left"/>
      <w:pPr>
        <w:ind w:left="1440" w:hanging="360"/>
      </w:pPr>
    </w:lvl>
    <w:lvl w:ilvl="2">
      <w:start w:val="9"/>
      <w:numFmt w:val="decimal"/>
      <w:lvlText w:val="%3."/>
      <w:lvlJc w:val="left"/>
      <w:pPr>
        <w:ind w:left="2340" w:hanging="360"/>
      </w:pPr>
      <w:rPr>
        <w:rFonts w:eastAsia="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107ACE"/>
    <w:multiLevelType w:val="multilevel"/>
    <w:tmpl w:val="04BAAD54"/>
    <w:lvl w:ilvl="0">
      <w:start w:val="1"/>
      <w:numFmt w:val="bullet"/>
      <w:lvlText w:val=""/>
      <w:lvlJc w:val="left"/>
      <w:pPr>
        <w:tabs>
          <w:tab w:val="num" w:pos="1066"/>
        </w:tabs>
        <w:ind w:left="1066" w:firstLine="2"/>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4A120F5"/>
    <w:multiLevelType w:val="multilevel"/>
    <w:tmpl w:val="17A221A4"/>
    <w:lvl w:ilvl="0">
      <w:start w:val="1"/>
      <w:numFmt w:val="bullet"/>
      <w:lvlText w:val=""/>
      <w:lvlJc w:val="left"/>
      <w:pPr>
        <w:ind w:left="1068" w:hanging="360"/>
      </w:pPr>
      <w:rPr>
        <w:rFonts w:ascii="Symbol" w:hAnsi="Symbol" w:cs="Symbol" w:hint="default"/>
        <w:b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7A19528E"/>
    <w:multiLevelType w:val="multilevel"/>
    <w:tmpl w:val="D34A3F0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0"/>
  </w:num>
  <w:num w:numId="3">
    <w:abstractNumId w:val="21"/>
  </w:num>
  <w:num w:numId="4">
    <w:abstractNumId w:val="0"/>
  </w:num>
  <w:num w:numId="5">
    <w:abstractNumId w:val="5"/>
  </w:num>
  <w:num w:numId="6">
    <w:abstractNumId w:val="8"/>
  </w:num>
  <w:num w:numId="7">
    <w:abstractNumId w:val="17"/>
  </w:num>
  <w:num w:numId="8">
    <w:abstractNumId w:val="30"/>
  </w:num>
  <w:num w:numId="9">
    <w:abstractNumId w:val="28"/>
  </w:num>
  <w:num w:numId="10">
    <w:abstractNumId w:val="2"/>
  </w:num>
  <w:num w:numId="11">
    <w:abstractNumId w:val="31"/>
  </w:num>
  <w:num w:numId="12">
    <w:abstractNumId w:val="26"/>
  </w:num>
  <w:num w:numId="13">
    <w:abstractNumId w:val="16"/>
  </w:num>
  <w:num w:numId="14">
    <w:abstractNumId w:val="27"/>
  </w:num>
  <w:num w:numId="15">
    <w:abstractNumId w:val="3"/>
  </w:num>
  <w:num w:numId="16">
    <w:abstractNumId w:val="10"/>
  </w:num>
  <w:num w:numId="17">
    <w:abstractNumId w:val="6"/>
  </w:num>
  <w:num w:numId="18">
    <w:abstractNumId w:val="13"/>
  </w:num>
  <w:num w:numId="19">
    <w:abstractNumId w:val="7"/>
  </w:num>
  <w:num w:numId="20">
    <w:abstractNumId w:val="18"/>
  </w:num>
  <w:num w:numId="21">
    <w:abstractNumId w:val="11"/>
  </w:num>
  <w:num w:numId="22">
    <w:abstractNumId w:val="22"/>
  </w:num>
  <w:num w:numId="23">
    <w:abstractNumId w:val="4"/>
  </w:num>
  <w:num w:numId="24">
    <w:abstractNumId w:val="19"/>
  </w:num>
  <w:num w:numId="25">
    <w:abstractNumId w:val="24"/>
  </w:num>
  <w:num w:numId="26">
    <w:abstractNumId w:val="12"/>
  </w:num>
  <w:num w:numId="27">
    <w:abstractNumId w:val="15"/>
  </w:num>
  <w:num w:numId="28">
    <w:abstractNumId w:val="14"/>
  </w:num>
  <w:num w:numId="29">
    <w:abstractNumId w:val="23"/>
  </w:num>
  <w:num w:numId="30">
    <w:abstractNumId w:val="25"/>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F1"/>
    <w:rsid w:val="003B68F1"/>
    <w:rsid w:val="003C354F"/>
    <w:rsid w:val="00511C98"/>
    <w:rsid w:val="00E76E5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B66"/>
    <w:pPr>
      <w:spacing w:after="200" w:line="276" w:lineRule="auto"/>
    </w:pPr>
  </w:style>
  <w:style w:type="paragraph" w:styleId="Nagwek1">
    <w:name w:val="heading 1"/>
    <w:basedOn w:val="Normalny"/>
    <w:next w:val="Normalny"/>
    <w:link w:val="Nagwek1Znak"/>
    <w:uiPriority w:val="9"/>
    <w:qFormat/>
    <w:rsid w:val="00EA73BF"/>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A73BF"/>
    <w:rPr>
      <w:rFonts w:ascii="Cambria" w:eastAsia="Times New Roman" w:hAnsi="Cambria" w:cs="Times New Roman"/>
      <w:b/>
      <w:bCs/>
      <w:color w:val="365F91"/>
      <w:sz w:val="28"/>
      <w:szCs w:val="28"/>
    </w:rPr>
  </w:style>
  <w:style w:type="character" w:customStyle="1" w:styleId="TekstdymkaZnak">
    <w:name w:val="Tekst dymka Znak"/>
    <w:basedOn w:val="Domylnaczcionkaakapitu"/>
    <w:link w:val="Tekstdymka"/>
    <w:uiPriority w:val="99"/>
    <w:semiHidden/>
    <w:qFormat/>
    <w:rsid w:val="00EA73BF"/>
    <w:rPr>
      <w:rFonts w:ascii="Tahoma" w:hAnsi="Tahoma" w:cs="Tahoma"/>
      <w:sz w:val="16"/>
      <w:szCs w:val="16"/>
    </w:rPr>
  </w:style>
  <w:style w:type="character" w:customStyle="1" w:styleId="TekstpodstawowyZnak">
    <w:name w:val="Tekst podstawowy Znak"/>
    <w:basedOn w:val="Domylnaczcionkaakapitu"/>
    <w:link w:val="Tekstpodstawowy"/>
    <w:qFormat/>
    <w:rsid w:val="00EA73BF"/>
    <w:rPr>
      <w:rFonts w:ascii="Times New Roman" w:eastAsia="Times New Roman" w:hAnsi="Times New Roman" w:cs="Times New Roman"/>
      <w:sz w:val="24"/>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EA73BF"/>
    <w:rPr>
      <w:vertAlign w:val="superscript"/>
    </w:rPr>
  </w:style>
  <w:style w:type="character" w:customStyle="1" w:styleId="TekstprzypisudolnegoZnak">
    <w:name w:val="Tekst przypisu dolnego Znak"/>
    <w:basedOn w:val="Domylnaczcionkaakapitu"/>
    <w:link w:val="Tekstprzypisudolnego"/>
    <w:semiHidden/>
    <w:qFormat/>
    <w:rsid w:val="00EA73BF"/>
    <w:rPr>
      <w:rFonts w:ascii="Arial" w:eastAsia="Times New Roman" w:hAnsi="Arial" w:cs="Times New Roman"/>
      <w:sz w:val="20"/>
      <w:szCs w:val="20"/>
    </w:rPr>
  </w:style>
  <w:style w:type="character" w:customStyle="1" w:styleId="FontStyle20">
    <w:name w:val="Font Style20"/>
    <w:qFormat/>
    <w:rsid w:val="00EA73BF"/>
    <w:rPr>
      <w:rFonts w:ascii="Times New Roman" w:hAnsi="Times New Roman" w:cs="Times New Roman"/>
    </w:rPr>
  </w:style>
  <w:style w:type="character" w:customStyle="1" w:styleId="IGindeksgrny">
    <w:name w:val="_IG_ – indeks górny"/>
    <w:basedOn w:val="Domylnaczcionkaakapitu"/>
    <w:uiPriority w:val="2"/>
    <w:qFormat/>
    <w:rsid w:val="00EA73BF"/>
    <w:rPr>
      <w:b w:val="0"/>
      <w:i w:val="0"/>
      <w:vanish w:val="0"/>
      <w:spacing w:val="0"/>
      <w:vertAlign w:val="superscript"/>
    </w:rPr>
  </w:style>
  <w:style w:type="character" w:customStyle="1" w:styleId="ZwykytekstZnak">
    <w:name w:val="Zwykły tekst Znak"/>
    <w:basedOn w:val="Domylnaczcionkaakapitu"/>
    <w:link w:val="Zwykytekst"/>
    <w:uiPriority w:val="99"/>
    <w:qFormat/>
    <w:rsid w:val="00EA73BF"/>
    <w:rPr>
      <w:rFonts w:ascii="Consolas" w:hAnsi="Consolas" w:cs="Consolas"/>
      <w:sz w:val="21"/>
      <w:szCs w:val="21"/>
    </w:rPr>
  </w:style>
  <w:style w:type="character" w:customStyle="1" w:styleId="TytuZnak">
    <w:name w:val="Tytuł Znak"/>
    <w:basedOn w:val="Domylnaczcionkaakapitu"/>
    <w:link w:val="Tytu"/>
    <w:uiPriority w:val="10"/>
    <w:qFormat/>
    <w:rsid w:val="00EA73BF"/>
    <w:rPr>
      <w:rFonts w:ascii="Calibri Light" w:eastAsia="Times New Roman" w:hAnsi="Calibri Light" w:cs="Times New Roman"/>
      <w:spacing w:val="-10"/>
      <w:kern w:val="2"/>
      <w:sz w:val="56"/>
      <w:szCs w:val="56"/>
    </w:rPr>
  </w:style>
  <w:style w:type="character" w:customStyle="1" w:styleId="NagwekZnak">
    <w:name w:val="Nagłówek Znak"/>
    <w:basedOn w:val="Domylnaczcionkaakapitu"/>
    <w:link w:val="Nagwek"/>
    <w:qFormat/>
    <w:rsid w:val="00EA73BF"/>
  </w:style>
  <w:style w:type="character" w:customStyle="1" w:styleId="StopkaZnak">
    <w:name w:val="Stopka Znak"/>
    <w:basedOn w:val="Domylnaczcionkaakapitu"/>
    <w:link w:val="Stopka"/>
    <w:uiPriority w:val="99"/>
    <w:qFormat/>
    <w:rsid w:val="00EA73BF"/>
  </w:style>
  <w:style w:type="character" w:customStyle="1" w:styleId="file-element">
    <w:name w:val="file-element"/>
    <w:basedOn w:val="Domylnaczcionkaakapitu"/>
    <w:qFormat/>
    <w:rsid w:val="00EA73BF"/>
  </w:style>
  <w:style w:type="character" w:customStyle="1" w:styleId="czeinternetowe">
    <w:name w:val="Łącze internetowe"/>
    <w:basedOn w:val="Domylnaczcionkaakapitu"/>
    <w:uiPriority w:val="99"/>
    <w:unhideWhenUsed/>
    <w:rsid w:val="00EA73BF"/>
    <w:rPr>
      <w:color w:val="0000FF"/>
      <w:u w:val="single"/>
    </w:rPr>
  </w:style>
  <w:style w:type="character" w:customStyle="1" w:styleId="hide">
    <w:name w:val="hide"/>
    <w:basedOn w:val="Domylnaczcionkaakapitu"/>
    <w:qFormat/>
    <w:rsid w:val="00EA73BF"/>
  </w:style>
  <w:style w:type="character" w:customStyle="1" w:styleId="h11">
    <w:name w:val="h11"/>
    <w:basedOn w:val="Domylnaczcionkaakapitu"/>
    <w:qFormat/>
    <w:rsid w:val="00EA73BF"/>
    <w:rPr>
      <w:rFonts w:ascii="Verdana" w:hAnsi="Verdana"/>
      <w:b/>
      <w:bCs/>
      <w:i w:val="0"/>
      <w:iCs w:val="0"/>
      <w:sz w:val="23"/>
      <w:szCs w:val="23"/>
    </w:rPr>
  </w:style>
  <w:style w:type="character" w:customStyle="1" w:styleId="TekstkomentarzaZnak">
    <w:name w:val="Tekst komentarza Znak"/>
    <w:basedOn w:val="Domylnaczcionkaakapitu"/>
    <w:link w:val="Tekstkomentarza"/>
    <w:uiPriority w:val="99"/>
    <w:qFormat/>
    <w:rsid w:val="00EA73BF"/>
    <w:rPr>
      <w:sz w:val="20"/>
      <w:szCs w:val="20"/>
    </w:rPr>
  </w:style>
  <w:style w:type="character" w:customStyle="1" w:styleId="TematkomentarzaZnak">
    <w:name w:val="Temat komentarza Znak"/>
    <w:basedOn w:val="TekstkomentarzaZnak"/>
    <w:link w:val="Tematkomentarza"/>
    <w:uiPriority w:val="99"/>
    <w:semiHidden/>
    <w:qFormat/>
    <w:rsid w:val="00EA73BF"/>
    <w:rPr>
      <w:b/>
      <w:bCs/>
      <w:sz w:val="20"/>
      <w:szCs w:val="20"/>
    </w:rPr>
  </w:style>
  <w:style w:type="character" w:customStyle="1" w:styleId="RozporzdzenieumowaZnak">
    <w:name w:val="Rozporządzenie_umowa Znak"/>
    <w:basedOn w:val="Domylnaczcionkaakapitu"/>
    <w:link w:val="Rozporzdzenieumowa"/>
    <w:qFormat/>
    <w:rsid w:val="00EA73BF"/>
    <w:rPr>
      <w:rFonts w:ascii="Times New Roman" w:eastAsia="Times New Roman" w:hAnsi="Times New Roman" w:cs="Times New Roman"/>
      <w:sz w:val="24"/>
      <w:szCs w:val="24"/>
    </w:rPr>
  </w:style>
  <w:style w:type="character" w:styleId="Pogrubienie">
    <w:name w:val="Strong"/>
    <w:basedOn w:val="Domylnaczcionkaakapitu"/>
    <w:uiPriority w:val="22"/>
    <w:qFormat/>
    <w:rsid w:val="00064E50"/>
    <w:rPr>
      <w:b/>
      <w:bCs/>
    </w:rPr>
  </w:style>
  <w:style w:type="character" w:styleId="Odwoaniedokomentarza">
    <w:name w:val="annotation reference"/>
    <w:basedOn w:val="Domylnaczcionkaakapitu"/>
    <w:uiPriority w:val="99"/>
    <w:semiHidden/>
    <w:unhideWhenUsed/>
    <w:qFormat/>
    <w:rsid w:val="00A06040"/>
    <w:rPr>
      <w:sz w:val="16"/>
      <w:szCs w:val="16"/>
    </w:rPr>
  </w:style>
  <w:style w:type="character" w:customStyle="1" w:styleId="AkapitzlistZnak">
    <w:name w:val="Akapit z listą Znak"/>
    <w:link w:val="Akapitzlist"/>
    <w:uiPriority w:val="34"/>
    <w:qFormat/>
    <w:locked/>
    <w:rsid w:val="001152D4"/>
  </w:style>
  <w:style w:type="character" w:customStyle="1" w:styleId="TekstprzypisukocowegoZnak">
    <w:name w:val="Tekst przypisu końcowego Znak"/>
    <w:basedOn w:val="Domylnaczcionkaakapitu"/>
    <w:link w:val="Tekstprzypisukocowego"/>
    <w:uiPriority w:val="99"/>
    <w:semiHidden/>
    <w:qFormat/>
    <w:rsid w:val="00AE08B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E08B6"/>
    <w:rPr>
      <w:vertAlign w:val="superscript"/>
    </w:rPr>
  </w:style>
  <w:style w:type="character" w:customStyle="1" w:styleId="currenthithighlight">
    <w:name w:val="currenthithighlight"/>
    <w:basedOn w:val="Domylnaczcionkaakapitu"/>
    <w:qFormat/>
    <w:rsid w:val="006377A0"/>
  </w:style>
  <w:style w:type="character" w:customStyle="1" w:styleId="Wyrnienie">
    <w:name w:val="Wyróżnienie"/>
    <w:basedOn w:val="Domylnaczcionkaakapitu"/>
    <w:uiPriority w:val="20"/>
    <w:qFormat/>
    <w:rsid w:val="006377A0"/>
    <w:rPr>
      <w:i/>
      <w:iCs/>
    </w:rPr>
  </w:style>
  <w:style w:type="character" w:customStyle="1" w:styleId="czeindeksu">
    <w:name w:val="Łącze indeksu"/>
    <w:qFormat/>
  </w:style>
  <w:style w:type="paragraph" w:styleId="Nagwek">
    <w:name w:val="header"/>
    <w:basedOn w:val="Normalny"/>
    <w:next w:val="Tekstpodstawowy"/>
    <w:link w:val="NagwekZnak"/>
    <w:unhideWhenUsed/>
    <w:rsid w:val="00EA73BF"/>
    <w:pPr>
      <w:tabs>
        <w:tab w:val="center" w:pos="4536"/>
        <w:tab w:val="right" w:pos="9072"/>
      </w:tabs>
      <w:spacing w:after="0" w:line="240" w:lineRule="auto"/>
    </w:pPr>
  </w:style>
  <w:style w:type="paragraph" w:styleId="Tekstpodstawowy">
    <w:name w:val="Body Text"/>
    <w:basedOn w:val="Normalny"/>
    <w:link w:val="TekstpodstawowyZnak"/>
    <w:rsid w:val="00EA73BF"/>
    <w:pPr>
      <w:spacing w:after="0" w:line="360" w:lineRule="auto"/>
    </w:pPr>
    <w:rPr>
      <w:rFonts w:ascii="Times New Roman" w:eastAsia="Times New Roman" w:hAnsi="Times New Roman" w:cs="Times New Roman"/>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EA73BF"/>
    <w:pPr>
      <w:ind w:left="720"/>
      <w:contextualSpacing/>
    </w:pPr>
  </w:style>
  <w:style w:type="paragraph" w:customStyle="1" w:styleId="Default">
    <w:name w:val="Default"/>
    <w:qFormat/>
    <w:rsid w:val="00EA73BF"/>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EA73BF"/>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EA73BF"/>
    <w:pPr>
      <w:spacing w:after="0" w:line="240" w:lineRule="auto"/>
      <w:jc w:val="both"/>
    </w:pPr>
    <w:rPr>
      <w:rFonts w:ascii="Arial" w:eastAsia="Times New Roman" w:hAnsi="Arial" w:cs="Times New Roman"/>
      <w:sz w:val="20"/>
      <w:szCs w:val="20"/>
    </w:rPr>
  </w:style>
  <w:style w:type="paragraph" w:styleId="NormalnyWeb">
    <w:name w:val="Normal (Web)"/>
    <w:basedOn w:val="Normalny"/>
    <w:uiPriority w:val="99"/>
    <w:qFormat/>
    <w:rsid w:val="00EA73BF"/>
    <w:pPr>
      <w:spacing w:beforeAutospacing="1" w:afterAutospacing="1" w:line="240" w:lineRule="auto"/>
    </w:pPr>
    <w:rPr>
      <w:rFonts w:ascii="Times New Roman" w:eastAsia="Calibri" w:hAnsi="Times New Roman" w:cs="Times New Roman"/>
      <w:sz w:val="24"/>
      <w:szCs w:val="24"/>
    </w:rPr>
  </w:style>
  <w:style w:type="paragraph" w:customStyle="1" w:styleId="PKTpunkt">
    <w:name w:val="PKT – punkt"/>
    <w:uiPriority w:val="13"/>
    <w:qFormat/>
    <w:rsid w:val="00EA73BF"/>
    <w:pPr>
      <w:spacing w:line="360" w:lineRule="auto"/>
      <w:ind w:left="510" w:hanging="510"/>
      <w:jc w:val="both"/>
    </w:pPr>
    <w:rPr>
      <w:rFonts w:ascii="Times" w:eastAsia="Times New Roman" w:hAnsi="Times" w:cs="Arial"/>
      <w:bCs/>
      <w:sz w:val="24"/>
      <w:szCs w:val="20"/>
    </w:rPr>
  </w:style>
  <w:style w:type="paragraph" w:customStyle="1" w:styleId="CZWSPPKTczwsplnapunktw">
    <w:name w:val="CZ_WSP_PKT – część wspólna punktów"/>
    <w:basedOn w:val="PKTpunkt"/>
    <w:next w:val="Normalny"/>
    <w:uiPriority w:val="16"/>
    <w:qFormat/>
    <w:rsid w:val="00EA73BF"/>
    <w:pPr>
      <w:ind w:left="0" w:firstLine="0"/>
    </w:pPr>
  </w:style>
  <w:style w:type="paragraph" w:customStyle="1" w:styleId="LITlitera">
    <w:name w:val="LIT – litera"/>
    <w:basedOn w:val="PKTpunkt"/>
    <w:uiPriority w:val="14"/>
    <w:qFormat/>
    <w:rsid w:val="00EA73BF"/>
    <w:pPr>
      <w:ind w:left="986" w:hanging="476"/>
    </w:pPr>
  </w:style>
  <w:style w:type="paragraph" w:customStyle="1" w:styleId="USTustnpkodeksu">
    <w:name w:val="UST(§) – ust. (§ np. kodeksu)"/>
    <w:basedOn w:val="Normalny"/>
    <w:uiPriority w:val="12"/>
    <w:qFormat/>
    <w:rsid w:val="00EA73BF"/>
    <w:pPr>
      <w:spacing w:after="0" w:line="360" w:lineRule="auto"/>
      <w:ind w:firstLine="510"/>
      <w:jc w:val="both"/>
    </w:pPr>
    <w:rPr>
      <w:rFonts w:ascii="Times" w:hAnsi="Times" w:cs="Arial"/>
      <w:bCs/>
      <w:sz w:val="24"/>
      <w:szCs w:val="20"/>
    </w:rPr>
  </w:style>
  <w:style w:type="paragraph" w:customStyle="1" w:styleId="ODNONIKtreodnonika">
    <w:name w:val="ODNOŚNIK – treść odnośnika"/>
    <w:uiPriority w:val="19"/>
    <w:qFormat/>
    <w:rsid w:val="00EA73BF"/>
    <w:pPr>
      <w:ind w:left="284" w:hanging="284"/>
      <w:jc w:val="both"/>
    </w:pPr>
    <w:rPr>
      <w:rFonts w:ascii="Times New Roman" w:hAnsi="Times New Roman" w:cs="Arial"/>
      <w:sz w:val="20"/>
      <w:szCs w:val="20"/>
    </w:rPr>
  </w:style>
  <w:style w:type="paragraph" w:customStyle="1" w:styleId="ARTartustawynprozporzdzenia">
    <w:name w:val="ART(§) – art. ustawy (§ np. rozporządzenia)"/>
    <w:uiPriority w:val="11"/>
    <w:qFormat/>
    <w:rsid w:val="00EA73BF"/>
    <w:pPr>
      <w:spacing w:before="120" w:line="360" w:lineRule="auto"/>
      <w:ind w:firstLine="510"/>
      <w:jc w:val="both"/>
    </w:pPr>
    <w:rPr>
      <w:rFonts w:ascii="Times" w:eastAsia="Times New Roman" w:hAnsi="Times" w:cs="Arial"/>
      <w:sz w:val="24"/>
      <w:szCs w:val="20"/>
    </w:rPr>
  </w:style>
  <w:style w:type="paragraph" w:styleId="Zwykytekst">
    <w:name w:val="Plain Text"/>
    <w:basedOn w:val="Normalny"/>
    <w:link w:val="ZwykytekstZnak"/>
    <w:uiPriority w:val="99"/>
    <w:unhideWhenUsed/>
    <w:qFormat/>
    <w:rsid w:val="00EA73BF"/>
    <w:pPr>
      <w:spacing w:after="0" w:line="240" w:lineRule="auto"/>
    </w:pPr>
    <w:rPr>
      <w:rFonts w:ascii="Consolas" w:hAnsi="Consolas" w:cs="Consolas"/>
      <w:sz w:val="21"/>
      <w:szCs w:val="21"/>
    </w:rPr>
  </w:style>
  <w:style w:type="paragraph" w:styleId="Tytu">
    <w:name w:val="Title"/>
    <w:basedOn w:val="Normalny"/>
    <w:next w:val="Normalny"/>
    <w:link w:val="TytuZnak"/>
    <w:uiPriority w:val="10"/>
    <w:qFormat/>
    <w:rsid w:val="00EA73BF"/>
    <w:pPr>
      <w:spacing w:after="0" w:line="240" w:lineRule="auto"/>
      <w:contextualSpacing/>
    </w:pPr>
    <w:rPr>
      <w:rFonts w:ascii="Calibri Light" w:eastAsia="Times New Roman" w:hAnsi="Calibri Light" w:cs="Times New Roman"/>
      <w:spacing w:val="-10"/>
      <w:kern w:val="2"/>
      <w:sz w:val="56"/>
      <w:szCs w:val="56"/>
    </w:rPr>
  </w:style>
  <w:style w:type="paragraph" w:customStyle="1" w:styleId="ZPKTzmpktartykuempunktem">
    <w:name w:val="Z/PKT – zm. pkt artykułem (punktem)"/>
    <w:basedOn w:val="PKTpunkt"/>
    <w:uiPriority w:val="31"/>
    <w:qFormat/>
    <w:rsid w:val="00EA73BF"/>
    <w:pPr>
      <w:ind w:left="1020"/>
    </w:pPr>
    <w:rPr>
      <w:rFonts w:eastAsiaTheme="minorEastAsia"/>
    </w:rPr>
  </w:style>
  <w:style w:type="paragraph" w:customStyle="1" w:styleId="ZUSTzmustartykuempunktem">
    <w:name w:val="Z/UST(§) – zm. ust. (§) artykułem (punktem)"/>
    <w:basedOn w:val="Normalny"/>
    <w:uiPriority w:val="30"/>
    <w:qFormat/>
    <w:rsid w:val="00EA73BF"/>
    <w:pPr>
      <w:spacing w:after="0" w:line="360" w:lineRule="auto"/>
      <w:ind w:left="510" w:firstLine="510"/>
      <w:jc w:val="both"/>
    </w:pPr>
    <w:rPr>
      <w:rFonts w:ascii="Times" w:hAnsi="Times" w:cs="Arial"/>
      <w:sz w:val="24"/>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A73BF"/>
    <w:pPr>
      <w:tabs>
        <w:tab w:val="center" w:pos="4536"/>
        <w:tab w:val="right" w:pos="9072"/>
      </w:tabs>
      <w:spacing w:after="0" w:line="240" w:lineRule="auto"/>
    </w:pPr>
  </w:style>
  <w:style w:type="paragraph" w:customStyle="1" w:styleId="CM1">
    <w:name w:val="CM1"/>
    <w:basedOn w:val="Default"/>
    <w:next w:val="Default"/>
    <w:uiPriority w:val="99"/>
    <w:qFormat/>
    <w:rsid w:val="00EA73BF"/>
    <w:rPr>
      <w:rFonts w:ascii="EUAlbertina" w:eastAsiaTheme="minorHAnsi" w:hAnsi="EUAlbertina" w:cstheme="minorBidi"/>
      <w:color w:val="auto"/>
    </w:rPr>
  </w:style>
  <w:style w:type="paragraph" w:customStyle="1" w:styleId="CM3">
    <w:name w:val="CM3"/>
    <w:basedOn w:val="Default"/>
    <w:next w:val="Default"/>
    <w:uiPriority w:val="99"/>
    <w:qFormat/>
    <w:rsid w:val="00EA73BF"/>
    <w:rPr>
      <w:rFonts w:ascii="EUAlbertina" w:eastAsiaTheme="minorHAnsi" w:hAnsi="EUAlbertina" w:cstheme="minorBidi"/>
      <w:color w:val="auto"/>
    </w:rPr>
  </w:style>
  <w:style w:type="paragraph" w:customStyle="1" w:styleId="celp">
    <w:name w:val="cel_p"/>
    <w:basedOn w:val="Normalny"/>
    <w:qFormat/>
    <w:rsid w:val="00EA73BF"/>
    <w:pPr>
      <w:spacing w:after="15" w:line="240" w:lineRule="auto"/>
      <w:ind w:left="15" w:right="15"/>
      <w:jc w:val="both"/>
      <w:textAlignment w:val="top"/>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unhideWhenUsed/>
    <w:qFormat/>
    <w:rsid w:val="00EA73B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A73BF"/>
    <w:rPr>
      <w:b/>
      <w:bCs/>
    </w:rPr>
  </w:style>
  <w:style w:type="paragraph" w:customStyle="1" w:styleId="Rozporzdzenieumowa">
    <w:name w:val="Rozporządzenie_umowa"/>
    <w:link w:val="RozporzdzenieumowaZnak"/>
    <w:autoRedefine/>
    <w:qFormat/>
    <w:rsid w:val="00EA73BF"/>
    <w:pPr>
      <w:spacing w:line="280" w:lineRule="exact"/>
      <w:jc w:val="both"/>
    </w:pPr>
    <w:rPr>
      <w:rFonts w:ascii="Times New Roman" w:eastAsia="Times New Roman" w:hAnsi="Times New Roman" w:cs="Times New Roman"/>
      <w:sz w:val="24"/>
      <w:szCs w:val="24"/>
    </w:rPr>
  </w:style>
  <w:style w:type="paragraph" w:styleId="Spistreci1">
    <w:name w:val="toc 1"/>
    <w:basedOn w:val="Normalny"/>
    <w:next w:val="Normalny"/>
    <w:autoRedefine/>
    <w:uiPriority w:val="39"/>
    <w:rsid w:val="005D05EA"/>
    <w:pPr>
      <w:spacing w:before="120" w:after="0" w:line="240" w:lineRule="auto"/>
    </w:pPr>
    <w:rPr>
      <w:rFonts w:ascii="Times New Roman" w:eastAsia="Calibri" w:hAnsi="Times New Roman" w:cs="Times New Roman"/>
      <w:b/>
      <w:bCs/>
      <w:i/>
      <w:iCs/>
      <w:sz w:val="24"/>
      <w:szCs w:val="24"/>
    </w:rPr>
  </w:style>
  <w:style w:type="paragraph" w:styleId="Spistreci2">
    <w:name w:val="toc 2"/>
    <w:basedOn w:val="Normalny"/>
    <w:next w:val="Normalny"/>
    <w:autoRedefine/>
    <w:uiPriority w:val="39"/>
    <w:rsid w:val="005D05EA"/>
    <w:pPr>
      <w:tabs>
        <w:tab w:val="left" w:pos="540"/>
        <w:tab w:val="right" w:leader="dot" w:pos="9062"/>
      </w:tabs>
      <w:spacing w:before="120" w:after="0" w:line="240" w:lineRule="auto"/>
      <w:ind w:left="240"/>
    </w:pPr>
    <w:rPr>
      <w:rFonts w:ascii="Times New Roman" w:eastAsia="Calibri" w:hAnsi="Times New Roman" w:cs="Times New Roman"/>
      <w:b/>
      <w:sz w:val="24"/>
      <w:szCs w:val="24"/>
    </w:rPr>
  </w:style>
  <w:style w:type="paragraph" w:styleId="Nagwekspisutreci">
    <w:name w:val="TOC Heading"/>
    <w:basedOn w:val="Nagwek1"/>
    <w:next w:val="Normalny"/>
    <w:uiPriority w:val="39"/>
    <w:unhideWhenUsed/>
    <w:qFormat/>
    <w:rsid w:val="001177CA"/>
    <w:pPr>
      <w:spacing w:line="276" w:lineRule="auto"/>
    </w:pPr>
    <w:rPr>
      <w:rFonts w:asciiTheme="majorHAnsi" w:eastAsiaTheme="majorEastAsia" w:hAnsiTheme="majorHAnsi" w:cstheme="majorBidi"/>
      <w:color w:val="365F91" w:themeColor="accent1" w:themeShade="BF"/>
    </w:rPr>
  </w:style>
  <w:style w:type="paragraph" w:styleId="Tekstprzypisukocowego">
    <w:name w:val="endnote text"/>
    <w:basedOn w:val="Normalny"/>
    <w:link w:val="TekstprzypisukocowegoZnak"/>
    <w:uiPriority w:val="99"/>
    <w:semiHidden/>
    <w:unhideWhenUsed/>
    <w:rsid w:val="00AE08B6"/>
    <w:pPr>
      <w:spacing w:after="0" w:line="240" w:lineRule="auto"/>
    </w:pPr>
    <w:rPr>
      <w:sz w:val="20"/>
      <w:szCs w:val="20"/>
    </w:rPr>
  </w:style>
  <w:style w:type="paragraph" w:styleId="Poprawka">
    <w:name w:val="Revision"/>
    <w:uiPriority w:val="99"/>
    <w:semiHidden/>
    <w:qFormat/>
    <w:rsid w:val="00B352B2"/>
  </w:style>
  <w:style w:type="paragraph" w:styleId="Spistreci3">
    <w:name w:val="toc 3"/>
    <w:basedOn w:val="Normalny"/>
    <w:next w:val="Normalny"/>
    <w:autoRedefine/>
    <w:uiPriority w:val="39"/>
    <w:unhideWhenUsed/>
    <w:rsid w:val="002B5D2E"/>
    <w:pPr>
      <w:spacing w:after="100" w:line="259" w:lineRule="auto"/>
      <w:ind w:left="440"/>
    </w:pPr>
    <w:rPr>
      <w:rFonts w:cs="Times New Roman"/>
    </w:rPr>
  </w:style>
  <w:style w:type="table" w:styleId="Tabela-Siatka">
    <w:name w:val="Table Grid"/>
    <w:basedOn w:val="Standardowy"/>
    <w:rsid w:val="00EA7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B66"/>
    <w:pPr>
      <w:spacing w:after="200" w:line="276" w:lineRule="auto"/>
    </w:pPr>
  </w:style>
  <w:style w:type="paragraph" w:styleId="Nagwek1">
    <w:name w:val="heading 1"/>
    <w:basedOn w:val="Normalny"/>
    <w:next w:val="Normalny"/>
    <w:link w:val="Nagwek1Znak"/>
    <w:uiPriority w:val="9"/>
    <w:qFormat/>
    <w:rsid w:val="00EA73BF"/>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A73BF"/>
    <w:rPr>
      <w:rFonts w:ascii="Cambria" w:eastAsia="Times New Roman" w:hAnsi="Cambria" w:cs="Times New Roman"/>
      <w:b/>
      <w:bCs/>
      <w:color w:val="365F91"/>
      <w:sz w:val="28"/>
      <w:szCs w:val="28"/>
    </w:rPr>
  </w:style>
  <w:style w:type="character" w:customStyle="1" w:styleId="TekstdymkaZnak">
    <w:name w:val="Tekst dymka Znak"/>
    <w:basedOn w:val="Domylnaczcionkaakapitu"/>
    <w:link w:val="Tekstdymka"/>
    <w:uiPriority w:val="99"/>
    <w:semiHidden/>
    <w:qFormat/>
    <w:rsid w:val="00EA73BF"/>
    <w:rPr>
      <w:rFonts w:ascii="Tahoma" w:hAnsi="Tahoma" w:cs="Tahoma"/>
      <w:sz w:val="16"/>
      <w:szCs w:val="16"/>
    </w:rPr>
  </w:style>
  <w:style w:type="character" w:customStyle="1" w:styleId="TekstpodstawowyZnak">
    <w:name w:val="Tekst podstawowy Znak"/>
    <w:basedOn w:val="Domylnaczcionkaakapitu"/>
    <w:link w:val="Tekstpodstawowy"/>
    <w:qFormat/>
    <w:rsid w:val="00EA73BF"/>
    <w:rPr>
      <w:rFonts w:ascii="Times New Roman" w:eastAsia="Times New Roman" w:hAnsi="Times New Roman" w:cs="Times New Roman"/>
      <w:sz w:val="24"/>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EA73BF"/>
    <w:rPr>
      <w:vertAlign w:val="superscript"/>
    </w:rPr>
  </w:style>
  <w:style w:type="character" w:customStyle="1" w:styleId="TekstprzypisudolnegoZnak">
    <w:name w:val="Tekst przypisu dolnego Znak"/>
    <w:basedOn w:val="Domylnaczcionkaakapitu"/>
    <w:link w:val="Tekstprzypisudolnego"/>
    <w:semiHidden/>
    <w:qFormat/>
    <w:rsid w:val="00EA73BF"/>
    <w:rPr>
      <w:rFonts w:ascii="Arial" w:eastAsia="Times New Roman" w:hAnsi="Arial" w:cs="Times New Roman"/>
      <w:sz w:val="20"/>
      <w:szCs w:val="20"/>
    </w:rPr>
  </w:style>
  <w:style w:type="character" w:customStyle="1" w:styleId="FontStyle20">
    <w:name w:val="Font Style20"/>
    <w:qFormat/>
    <w:rsid w:val="00EA73BF"/>
    <w:rPr>
      <w:rFonts w:ascii="Times New Roman" w:hAnsi="Times New Roman" w:cs="Times New Roman"/>
    </w:rPr>
  </w:style>
  <w:style w:type="character" w:customStyle="1" w:styleId="IGindeksgrny">
    <w:name w:val="_IG_ – indeks górny"/>
    <w:basedOn w:val="Domylnaczcionkaakapitu"/>
    <w:uiPriority w:val="2"/>
    <w:qFormat/>
    <w:rsid w:val="00EA73BF"/>
    <w:rPr>
      <w:b w:val="0"/>
      <w:i w:val="0"/>
      <w:vanish w:val="0"/>
      <w:spacing w:val="0"/>
      <w:vertAlign w:val="superscript"/>
    </w:rPr>
  </w:style>
  <w:style w:type="character" w:customStyle="1" w:styleId="ZwykytekstZnak">
    <w:name w:val="Zwykły tekst Znak"/>
    <w:basedOn w:val="Domylnaczcionkaakapitu"/>
    <w:link w:val="Zwykytekst"/>
    <w:uiPriority w:val="99"/>
    <w:qFormat/>
    <w:rsid w:val="00EA73BF"/>
    <w:rPr>
      <w:rFonts w:ascii="Consolas" w:hAnsi="Consolas" w:cs="Consolas"/>
      <w:sz w:val="21"/>
      <w:szCs w:val="21"/>
    </w:rPr>
  </w:style>
  <w:style w:type="character" w:customStyle="1" w:styleId="TytuZnak">
    <w:name w:val="Tytuł Znak"/>
    <w:basedOn w:val="Domylnaczcionkaakapitu"/>
    <w:link w:val="Tytu"/>
    <w:uiPriority w:val="10"/>
    <w:qFormat/>
    <w:rsid w:val="00EA73BF"/>
    <w:rPr>
      <w:rFonts w:ascii="Calibri Light" w:eastAsia="Times New Roman" w:hAnsi="Calibri Light" w:cs="Times New Roman"/>
      <w:spacing w:val="-10"/>
      <w:kern w:val="2"/>
      <w:sz w:val="56"/>
      <w:szCs w:val="56"/>
    </w:rPr>
  </w:style>
  <w:style w:type="character" w:customStyle="1" w:styleId="NagwekZnak">
    <w:name w:val="Nagłówek Znak"/>
    <w:basedOn w:val="Domylnaczcionkaakapitu"/>
    <w:link w:val="Nagwek"/>
    <w:qFormat/>
    <w:rsid w:val="00EA73BF"/>
  </w:style>
  <w:style w:type="character" w:customStyle="1" w:styleId="StopkaZnak">
    <w:name w:val="Stopka Znak"/>
    <w:basedOn w:val="Domylnaczcionkaakapitu"/>
    <w:link w:val="Stopka"/>
    <w:uiPriority w:val="99"/>
    <w:qFormat/>
    <w:rsid w:val="00EA73BF"/>
  </w:style>
  <w:style w:type="character" w:customStyle="1" w:styleId="file-element">
    <w:name w:val="file-element"/>
    <w:basedOn w:val="Domylnaczcionkaakapitu"/>
    <w:qFormat/>
    <w:rsid w:val="00EA73BF"/>
  </w:style>
  <w:style w:type="character" w:customStyle="1" w:styleId="czeinternetowe">
    <w:name w:val="Łącze internetowe"/>
    <w:basedOn w:val="Domylnaczcionkaakapitu"/>
    <w:uiPriority w:val="99"/>
    <w:unhideWhenUsed/>
    <w:rsid w:val="00EA73BF"/>
    <w:rPr>
      <w:color w:val="0000FF"/>
      <w:u w:val="single"/>
    </w:rPr>
  </w:style>
  <w:style w:type="character" w:customStyle="1" w:styleId="hide">
    <w:name w:val="hide"/>
    <w:basedOn w:val="Domylnaczcionkaakapitu"/>
    <w:qFormat/>
    <w:rsid w:val="00EA73BF"/>
  </w:style>
  <w:style w:type="character" w:customStyle="1" w:styleId="h11">
    <w:name w:val="h11"/>
    <w:basedOn w:val="Domylnaczcionkaakapitu"/>
    <w:qFormat/>
    <w:rsid w:val="00EA73BF"/>
    <w:rPr>
      <w:rFonts w:ascii="Verdana" w:hAnsi="Verdana"/>
      <w:b/>
      <w:bCs/>
      <w:i w:val="0"/>
      <w:iCs w:val="0"/>
      <w:sz w:val="23"/>
      <w:szCs w:val="23"/>
    </w:rPr>
  </w:style>
  <w:style w:type="character" w:customStyle="1" w:styleId="TekstkomentarzaZnak">
    <w:name w:val="Tekst komentarza Znak"/>
    <w:basedOn w:val="Domylnaczcionkaakapitu"/>
    <w:link w:val="Tekstkomentarza"/>
    <w:uiPriority w:val="99"/>
    <w:qFormat/>
    <w:rsid w:val="00EA73BF"/>
    <w:rPr>
      <w:sz w:val="20"/>
      <w:szCs w:val="20"/>
    </w:rPr>
  </w:style>
  <w:style w:type="character" w:customStyle="1" w:styleId="TematkomentarzaZnak">
    <w:name w:val="Temat komentarza Znak"/>
    <w:basedOn w:val="TekstkomentarzaZnak"/>
    <w:link w:val="Tematkomentarza"/>
    <w:uiPriority w:val="99"/>
    <w:semiHidden/>
    <w:qFormat/>
    <w:rsid w:val="00EA73BF"/>
    <w:rPr>
      <w:b/>
      <w:bCs/>
      <w:sz w:val="20"/>
      <w:szCs w:val="20"/>
    </w:rPr>
  </w:style>
  <w:style w:type="character" w:customStyle="1" w:styleId="RozporzdzenieumowaZnak">
    <w:name w:val="Rozporządzenie_umowa Znak"/>
    <w:basedOn w:val="Domylnaczcionkaakapitu"/>
    <w:link w:val="Rozporzdzenieumowa"/>
    <w:qFormat/>
    <w:rsid w:val="00EA73BF"/>
    <w:rPr>
      <w:rFonts w:ascii="Times New Roman" w:eastAsia="Times New Roman" w:hAnsi="Times New Roman" w:cs="Times New Roman"/>
      <w:sz w:val="24"/>
      <w:szCs w:val="24"/>
    </w:rPr>
  </w:style>
  <w:style w:type="character" w:styleId="Pogrubienie">
    <w:name w:val="Strong"/>
    <w:basedOn w:val="Domylnaczcionkaakapitu"/>
    <w:uiPriority w:val="22"/>
    <w:qFormat/>
    <w:rsid w:val="00064E50"/>
    <w:rPr>
      <w:b/>
      <w:bCs/>
    </w:rPr>
  </w:style>
  <w:style w:type="character" w:styleId="Odwoaniedokomentarza">
    <w:name w:val="annotation reference"/>
    <w:basedOn w:val="Domylnaczcionkaakapitu"/>
    <w:uiPriority w:val="99"/>
    <w:semiHidden/>
    <w:unhideWhenUsed/>
    <w:qFormat/>
    <w:rsid w:val="00A06040"/>
    <w:rPr>
      <w:sz w:val="16"/>
      <w:szCs w:val="16"/>
    </w:rPr>
  </w:style>
  <w:style w:type="character" w:customStyle="1" w:styleId="AkapitzlistZnak">
    <w:name w:val="Akapit z listą Znak"/>
    <w:link w:val="Akapitzlist"/>
    <w:uiPriority w:val="34"/>
    <w:qFormat/>
    <w:locked/>
    <w:rsid w:val="001152D4"/>
  </w:style>
  <w:style w:type="character" w:customStyle="1" w:styleId="TekstprzypisukocowegoZnak">
    <w:name w:val="Tekst przypisu końcowego Znak"/>
    <w:basedOn w:val="Domylnaczcionkaakapitu"/>
    <w:link w:val="Tekstprzypisukocowego"/>
    <w:uiPriority w:val="99"/>
    <w:semiHidden/>
    <w:qFormat/>
    <w:rsid w:val="00AE08B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E08B6"/>
    <w:rPr>
      <w:vertAlign w:val="superscript"/>
    </w:rPr>
  </w:style>
  <w:style w:type="character" w:customStyle="1" w:styleId="currenthithighlight">
    <w:name w:val="currenthithighlight"/>
    <w:basedOn w:val="Domylnaczcionkaakapitu"/>
    <w:qFormat/>
    <w:rsid w:val="006377A0"/>
  </w:style>
  <w:style w:type="character" w:customStyle="1" w:styleId="Wyrnienie">
    <w:name w:val="Wyróżnienie"/>
    <w:basedOn w:val="Domylnaczcionkaakapitu"/>
    <w:uiPriority w:val="20"/>
    <w:qFormat/>
    <w:rsid w:val="006377A0"/>
    <w:rPr>
      <w:i/>
      <w:iCs/>
    </w:rPr>
  </w:style>
  <w:style w:type="character" w:customStyle="1" w:styleId="czeindeksu">
    <w:name w:val="Łącze indeksu"/>
    <w:qFormat/>
  </w:style>
  <w:style w:type="paragraph" w:styleId="Nagwek">
    <w:name w:val="header"/>
    <w:basedOn w:val="Normalny"/>
    <w:next w:val="Tekstpodstawowy"/>
    <w:link w:val="NagwekZnak"/>
    <w:unhideWhenUsed/>
    <w:rsid w:val="00EA73BF"/>
    <w:pPr>
      <w:tabs>
        <w:tab w:val="center" w:pos="4536"/>
        <w:tab w:val="right" w:pos="9072"/>
      </w:tabs>
      <w:spacing w:after="0" w:line="240" w:lineRule="auto"/>
    </w:pPr>
  </w:style>
  <w:style w:type="paragraph" w:styleId="Tekstpodstawowy">
    <w:name w:val="Body Text"/>
    <w:basedOn w:val="Normalny"/>
    <w:link w:val="TekstpodstawowyZnak"/>
    <w:rsid w:val="00EA73BF"/>
    <w:pPr>
      <w:spacing w:after="0" w:line="360" w:lineRule="auto"/>
    </w:pPr>
    <w:rPr>
      <w:rFonts w:ascii="Times New Roman" w:eastAsia="Times New Roman" w:hAnsi="Times New Roman" w:cs="Times New Roman"/>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EA73BF"/>
    <w:pPr>
      <w:ind w:left="720"/>
      <w:contextualSpacing/>
    </w:pPr>
  </w:style>
  <w:style w:type="paragraph" w:customStyle="1" w:styleId="Default">
    <w:name w:val="Default"/>
    <w:qFormat/>
    <w:rsid w:val="00EA73BF"/>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EA73BF"/>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EA73BF"/>
    <w:pPr>
      <w:spacing w:after="0" w:line="240" w:lineRule="auto"/>
      <w:jc w:val="both"/>
    </w:pPr>
    <w:rPr>
      <w:rFonts w:ascii="Arial" w:eastAsia="Times New Roman" w:hAnsi="Arial" w:cs="Times New Roman"/>
      <w:sz w:val="20"/>
      <w:szCs w:val="20"/>
    </w:rPr>
  </w:style>
  <w:style w:type="paragraph" w:styleId="NormalnyWeb">
    <w:name w:val="Normal (Web)"/>
    <w:basedOn w:val="Normalny"/>
    <w:uiPriority w:val="99"/>
    <w:qFormat/>
    <w:rsid w:val="00EA73BF"/>
    <w:pPr>
      <w:spacing w:beforeAutospacing="1" w:afterAutospacing="1" w:line="240" w:lineRule="auto"/>
    </w:pPr>
    <w:rPr>
      <w:rFonts w:ascii="Times New Roman" w:eastAsia="Calibri" w:hAnsi="Times New Roman" w:cs="Times New Roman"/>
      <w:sz w:val="24"/>
      <w:szCs w:val="24"/>
    </w:rPr>
  </w:style>
  <w:style w:type="paragraph" w:customStyle="1" w:styleId="PKTpunkt">
    <w:name w:val="PKT – punkt"/>
    <w:uiPriority w:val="13"/>
    <w:qFormat/>
    <w:rsid w:val="00EA73BF"/>
    <w:pPr>
      <w:spacing w:line="360" w:lineRule="auto"/>
      <w:ind w:left="510" w:hanging="510"/>
      <w:jc w:val="both"/>
    </w:pPr>
    <w:rPr>
      <w:rFonts w:ascii="Times" w:eastAsia="Times New Roman" w:hAnsi="Times" w:cs="Arial"/>
      <w:bCs/>
      <w:sz w:val="24"/>
      <w:szCs w:val="20"/>
    </w:rPr>
  </w:style>
  <w:style w:type="paragraph" w:customStyle="1" w:styleId="CZWSPPKTczwsplnapunktw">
    <w:name w:val="CZ_WSP_PKT – część wspólna punktów"/>
    <w:basedOn w:val="PKTpunkt"/>
    <w:next w:val="Normalny"/>
    <w:uiPriority w:val="16"/>
    <w:qFormat/>
    <w:rsid w:val="00EA73BF"/>
    <w:pPr>
      <w:ind w:left="0" w:firstLine="0"/>
    </w:pPr>
  </w:style>
  <w:style w:type="paragraph" w:customStyle="1" w:styleId="LITlitera">
    <w:name w:val="LIT – litera"/>
    <w:basedOn w:val="PKTpunkt"/>
    <w:uiPriority w:val="14"/>
    <w:qFormat/>
    <w:rsid w:val="00EA73BF"/>
    <w:pPr>
      <w:ind w:left="986" w:hanging="476"/>
    </w:pPr>
  </w:style>
  <w:style w:type="paragraph" w:customStyle="1" w:styleId="USTustnpkodeksu">
    <w:name w:val="UST(§) – ust. (§ np. kodeksu)"/>
    <w:basedOn w:val="Normalny"/>
    <w:uiPriority w:val="12"/>
    <w:qFormat/>
    <w:rsid w:val="00EA73BF"/>
    <w:pPr>
      <w:spacing w:after="0" w:line="360" w:lineRule="auto"/>
      <w:ind w:firstLine="510"/>
      <w:jc w:val="both"/>
    </w:pPr>
    <w:rPr>
      <w:rFonts w:ascii="Times" w:hAnsi="Times" w:cs="Arial"/>
      <w:bCs/>
      <w:sz w:val="24"/>
      <w:szCs w:val="20"/>
    </w:rPr>
  </w:style>
  <w:style w:type="paragraph" w:customStyle="1" w:styleId="ODNONIKtreodnonika">
    <w:name w:val="ODNOŚNIK – treść odnośnika"/>
    <w:uiPriority w:val="19"/>
    <w:qFormat/>
    <w:rsid w:val="00EA73BF"/>
    <w:pPr>
      <w:ind w:left="284" w:hanging="284"/>
      <w:jc w:val="both"/>
    </w:pPr>
    <w:rPr>
      <w:rFonts w:ascii="Times New Roman" w:hAnsi="Times New Roman" w:cs="Arial"/>
      <w:sz w:val="20"/>
      <w:szCs w:val="20"/>
    </w:rPr>
  </w:style>
  <w:style w:type="paragraph" w:customStyle="1" w:styleId="ARTartustawynprozporzdzenia">
    <w:name w:val="ART(§) – art. ustawy (§ np. rozporządzenia)"/>
    <w:uiPriority w:val="11"/>
    <w:qFormat/>
    <w:rsid w:val="00EA73BF"/>
    <w:pPr>
      <w:spacing w:before="120" w:line="360" w:lineRule="auto"/>
      <w:ind w:firstLine="510"/>
      <w:jc w:val="both"/>
    </w:pPr>
    <w:rPr>
      <w:rFonts w:ascii="Times" w:eastAsia="Times New Roman" w:hAnsi="Times" w:cs="Arial"/>
      <w:sz w:val="24"/>
      <w:szCs w:val="20"/>
    </w:rPr>
  </w:style>
  <w:style w:type="paragraph" w:styleId="Zwykytekst">
    <w:name w:val="Plain Text"/>
    <w:basedOn w:val="Normalny"/>
    <w:link w:val="ZwykytekstZnak"/>
    <w:uiPriority w:val="99"/>
    <w:unhideWhenUsed/>
    <w:qFormat/>
    <w:rsid w:val="00EA73BF"/>
    <w:pPr>
      <w:spacing w:after="0" w:line="240" w:lineRule="auto"/>
    </w:pPr>
    <w:rPr>
      <w:rFonts w:ascii="Consolas" w:hAnsi="Consolas" w:cs="Consolas"/>
      <w:sz w:val="21"/>
      <w:szCs w:val="21"/>
    </w:rPr>
  </w:style>
  <w:style w:type="paragraph" w:styleId="Tytu">
    <w:name w:val="Title"/>
    <w:basedOn w:val="Normalny"/>
    <w:next w:val="Normalny"/>
    <w:link w:val="TytuZnak"/>
    <w:uiPriority w:val="10"/>
    <w:qFormat/>
    <w:rsid w:val="00EA73BF"/>
    <w:pPr>
      <w:spacing w:after="0" w:line="240" w:lineRule="auto"/>
      <w:contextualSpacing/>
    </w:pPr>
    <w:rPr>
      <w:rFonts w:ascii="Calibri Light" w:eastAsia="Times New Roman" w:hAnsi="Calibri Light" w:cs="Times New Roman"/>
      <w:spacing w:val="-10"/>
      <w:kern w:val="2"/>
      <w:sz w:val="56"/>
      <w:szCs w:val="56"/>
    </w:rPr>
  </w:style>
  <w:style w:type="paragraph" w:customStyle="1" w:styleId="ZPKTzmpktartykuempunktem">
    <w:name w:val="Z/PKT – zm. pkt artykułem (punktem)"/>
    <w:basedOn w:val="PKTpunkt"/>
    <w:uiPriority w:val="31"/>
    <w:qFormat/>
    <w:rsid w:val="00EA73BF"/>
    <w:pPr>
      <w:ind w:left="1020"/>
    </w:pPr>
    <w:rPr>
      <w:rFonts w:eastAsiaTheme="minorEastAsia"/>
    </w:rPr>
  </w:style>
  <w:style w:type="paragraph" w:customStyle="1" w:styleId="ZUSTzmustartykuempunktem">
    <w:name w:val="Z/UST(§) – zm. ust. (§) artykułem (punktem)"/>
    <w:basedOn w:val="Normalny"/>
    <w:uiPriority w:val="30"/>
    <w:qFormat/>
    <w:rsid w:val="00EA73BF"/>
    <w:pPr>
      <w:spacing w:after="0" w:line="360" w:lineRule="auto"/>
      <w:ind w:left="510" w:firstLine="510"/>
      <w:jc w:val="both"/>
    </w:pPr>
    <w:rPr>
      <w:rFonts w:ascii="Times" w:hAnsi="Times" w:cs="Arial"/>
      <w:sz w:val="24"/>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A73BF"/>
    <w:pPr>
      <w:tabs>
        <w:tab w:val="center" w:pos="4536"/>
        <w:tab w:val="right" w:pos="9072"/>
      </w:tabs>
      <w:spacing w:after="0" w:line="240" w:lineRule="auto"/>
    </w:pPr>
  </w:style>
  <w:style w:type="paragraph" w:customStyle="1" w:styleId="CM1">
    <w:name w:val="CM1"/>
    <w:basedOn w:val="Default"/>
    <w:next w:val="Default"/>
    <w:uiPriority w:val="99"/>
    <w:qFormat/>
    <w:rsid w:val="00EA73BF"/>
    <w:rPr>
      <w:rFonts w:ascii="EUAlbertina" w:eastAsiaTheme="minorHAnsi" w:hAnsi="EUAlbertina" w:cstheme="minorBidi"/>
      <w:color w:val="auto"/>
    </w:rPr>
  </w:style>
  <w:style w:type="paragraph" w:customStyle="1" w:styleId="CM3">
    <w:name w:val="CM3"/>
    <w:basedOn w:val="Default"/>
    <w:next w:val="Default"/>
    <w:uiPriority w:val="99"/>
    <w:qFormat/>
    <w:rsid w:val="00EA73BF"/>
    <w:rPr>
      <w:rFonts w:ascii="EUAlbertina" w:eastAsiaTheme="minorHAnsi" w:hAnsi="EUAlbertina" w:cstheme="minorBidi"/>
      <w:color w:val="auto"/>
    </w:rPr>
  </w:style>
  <w:style w:type="paragraph" w:customStyle="1" w:styleId="celp">
    <w:name w:val="cel_p"/>
    <w:basedOn w:val="Normalny"/>
    <w:qFormat/>
    <w:rsid w:val="00EA73BF"/>
    <w:pPr>
      <w:spacing w:after="15" w:line="240" w:lineRule="auto"/>
      <w:ind w:left="15" w:right="15"/>
      <w:jc w:val="both"/>
      <w:textAlignment w:val="top"/>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unhideWhenUsed/>
    <w:qFormat/>
    <w:rsid w:val="00EA73B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A73BF"/>
    <w:rPr>
      <w:b/>
      <w:bCs/>
    </w:rPr>
  </w:style>
  <w:style w:type="paragraph" w:customStyle="1" w:styleId="Rozporzdzenieumowa">
    <w:name w:val="Rozporządzenie_umowa"/>
    <w:link w:val="RozporzdzenieumowaZnak"/>
    <w:autoRedefine/>
    <w:qFormat/>
    <w:rsid w:val="00EA73BF"/>
    <w:pPr>
      <w:spacing w:line="280" w:lineRule="exact"/>
      <w:jc w:val="both"/>
    </w:pPr>
    <w:rPr>
      <w:rFonts w:ascii="Times New Roman" w:eastAsia="Times New Roman" w:hAnsi="Times New Roman" w:cs="Times New Roman"/>
      <w:sz w:val="24"/>
      <w:szCs w:val="24"/>
    </w:rPr>
  </w:style>
  <w:style w:type="paragraph" w:styleId="Spistreci1">
    <w:name w:val="toc 1"/>
    <w:basedOn w:val="Normalny"/>
    <w:next w:val="Normalny"/>
    <w:autoRedefine/>
    <w:uiPriority w:val="39"/>
    <w:rsid w:val="005D05EA"/>
    <w:pPr>
      <w:spacing w:before="120" w:after="0" w:line="240" w:lineRule="auto"/>
    </w:pPr>
    <w:rPr>
      <w:rFonts w:ascii="Times New Roman" w:eastAsia="Calibri" w:hAnsi="Times New Roman" w:cs="Times New Roman"/>
      <w:b/>
      <w:bCs/>
      <w:i/>
      <w:iCs/>
      <w:sz w:val="24"/>
      <w:szCs w:val="24"/>
    </w:rPr>
  </w:style>
  <w:style w:type="paragraph" w:styleId="Spistreci2">
    <w:name w:val="toc 2"/>
    <w:basedOn w:val="Normalny"/>
    <w:next w:val="Normalny"/>
    <w:autoRedefine/>
    <w:uiPriority w:val="39"/>
    <w:rsid w:val="005D05EA"/>
    <w:pPr>
      <w:tabs>
        <w:tab w:val="left" w:pos="540"/>
        <w:tab w:val="right" w:leader="dot" w:pos="9062"/>
      </w:tabs>
      <w:spacing w:before="120" w:after="0" w:line="240" w:lineRule="auto"/>
      <w:ind w:left="240"/>
    </w:pPr>
    <w:rPr>
      <w:rFonts w:ascii="Times New Roman" w:eastAsia="Calibri" w:hAnsi="Times New Roman" w:cs="Times New Roman"/>
      <w:b/>
      <w:sz w:val="24"/>
      <w:szCs w:val="24"/>
    </w:rPr>
  </w:style>
  <w:style w:type="paragraph" w:styleId="Nagwekspisutreci">
    <w:name w:val="TOC Heading"/>
    <w:basedOn w:val="Nagwek1"/>
    <w:next w:val="Normalny"/>
    <w:uiPriority w:val="39"/>
    <w:unhideWhenUsed/>
    <w:qFormat/>
    <w:rsid w:val="001177CA"/>
    <w:pPr>
      <w:spacing w:line="276" w:lineRule="auto"/>
    </w:pPr>
    <w:rPr>
      <w:rFonts w:asciiTheme="majorHAnsi" w:eastAsiaTheme="majorEastAsia" w:hAnsiTheme="majorHAnsi" w:cstheme="majorBidi"/>
      <w:color w:val="365F91" w:themeColor="accent1" w:themeShade="BF"/>
    </w:rPr>
  </w:style>
  <w:style w:type="paragraph" w:styleId="Tekstprzypisukocowego">
    <w:name w:val="endnote text"/>
    <w:basedOn w:val="Normalny"/>
    <w:link w:val="TekstprzypisukocowegoZnak"/>
    <w:uiPriority w:val="99"/>
    <w:semiHidden/>
    <w:unhideWhenUsed/>
    <w:rsid w:val="00AE08B6"/>
    <w:pPr>
      <w:spacing w:after="0" w:line="240" w:lineRule="auto"/>
    </w:pPr>
    <w:rPr>
      <w:sz w:val="20"/>
      <w:szCs w:val="20"/>
    </w:rPr>
  </w:style>
  <w:style w:type="paragraph" w:styleId="Poprawka">
    <w:name w:val="Revision"/>
    <w:uiPriority w:val="99"/>
    <w:semiHidden/>
    <w:qFormat/>
    <w:rsid w:val="00B352B2"/>
  </w:style>
  <w:style w:type="paragraph" w:styleId="Spistreci3">
    <w:name w:val="toc 3"/>
    <w:basedOn w:val="Normalny"/>
    <w:next w:val="Normalny"/>
    <w:autoRedefine/>
    <w:uiPriority w:val="39"/>
    <w:unhideWhenUsed/>
    <w:rsid w:val="002B5D2E"/>
    <w:pPr>
      <w:spacing w:after="100" w:line="259" w:lineRule="auto"/>
      <w:ind w:left="440"/>
    </w:pPr>
    <w:rPr>
      <w:rFonts w:cs="Times New Roman"/>
    </w:rPr>
  </w:style>
  <w:style w:type="table" w:styleId="Tabela-Siatka">
    <w:name w:val="Table Grid"/>
    <w:basedOn w:val="Standardowy"/>
    <w:rsid w:val="00EA7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D325E-6DE4-41A6-A886-BC16541F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13643</Words>
  <Characters>81864</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95317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atomczak</dc:creator>
  <cp:lastModifiedBy>Głusiecka Ewelina</cp:lastModifiedBy>
  <cp:revision>2</cp:revision>
  <cp:lastPrinted>2020-09-29T07:03:00Z</cp:lastPrinted>
  <dcterms:created xsi:type="dcterms:W3CDTF">2020-12-07T12:09:00Z</dcterms:created>
  <dcterms:modified xsi:type="dcterms:W3CDTF">2020-12-07T12:09:00Z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